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8E" w:rsidRDefault="00CE5C3E" w:rsidP="00CC2327">
      <w:pPr>
        <w:spacing w:after="0" w:line="240" w:lineRule="auto"/>
        <w:ind w:left="0" w:firstLine="0"/>
      </w:pPr>
      <w:r>
        <w:rPr>
          <w:rFonts w:ascii="Verdana" w:eastAsia="Verdana" w:hAnsi="Verdana" w:cs="Verdana"/>
          <w:sz w:val="20"/>
        </w:rPr>
        <w:t>GreenStep City Best Practices</w:t>
      </w:r>
      <w:r w:rsidR="005E66F7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Transportation</w:t>
      </w:r>
      <w:r>
        <w:rPr>
          <w:rFonts w:ascii="Verdana" w:eastAsia="Verdana" w:hAnsi="Verdana" w:cs="Verdana"/>
          <w:sz w:val="20"/>
        </w:rPr>
        <w:t xml:space="preserve"> </w:t>
      </w:r>
    </w:p>
    <w:p w:rsidR="006E658E" w:rsidRDefault="00CE5C3E">
      <w:pPr>
        <w:spacing w:after="106" w:line="259" w:lineRule="auto"/>
        <w:ind w:left="0" w:firstLine="0"/>
      </w:pPr>
      <w:r>
        <w:rPr>
          <w:rFonts w:ascii="Arial" w:eastAsia="Arial" w:hAnsi="Arial" w:cs="Arial"/>
          <w:color w:val="2F2F2F"/>
          <w:sz w:val="18"/>
        </w:rPr>
        <w:t xml:space="preserve"> </w:t>
      </w:r>
    </w:p>
    <w:p w:rsidR="006E658E" w:rsidRDefault="00CE5C3E" w:rsidP="00CC2327">
      <w:pPr>
        <w:pStyle w:val="Heading1"/>
      </w:pPr>
      <w:r>
        <w:t xml:space="preserve">Mobility Options                                                          </w:t>
      </w:r>
      <w:hyperlink r:id="rId5">
        <w:r>
          <w:t>n</w:t>
        </w:r>
      </w:hyperlink>
      <w:r>
        <w:t xml:space="preserve">o. 12 </w:t>
      </w:r>
      <w:r>
        <w:rPr>
          <w:rFonts w:ascii="Arial" w:eastAsia="Arial" w:hAnsi="Arial" w:cs="Arial"/>
          <w:vertAlign w:val="subscript"/>
        </w:rPr>
        <w:t xml:space="preserve"> </w:t>
      </w:r>
    </w:p>
    <w:p w:rsidR="006E658E" w:rsidRDefault="00CE5C3E">
      <w:pPr>
        <w:spacing w:after="0" w:line="259" w:lineRule="auto"/>
        <w:ind w:left="0" w:right="95" w:firstLine="0"/>
        <w:jc w:val="center"/>
      </w:pPr>
      <w:r>
        <w:rPr>
          <w:rFonts w:ascii="Arial" w:eastAsia="Arial" w:hAnsi="Arial" w:cs="Arial"/>
          <w:color w:val="2F2F2F"/>
          <w:sz w:val="24"/>
        </w:rPr>
        <w:t>P</w:t>
      </w:r>
      <w:r>
        <w:rPr>
          <w:rFonts w:ascii="Arial" w:eastAsia="Arial" w:hAnsi="Arial" w:cs="Arial"/>
          <w:color w:val="2F2F2F"/>
          <w:sz w:val="24"/>
        </w:rPr>
        <w:t>romote active transportation and alternatives to single-occupancy car travel.</w:t>
      </w:r>
      <w:r>
        <w:rPr>
          <w:rFonts w:ascii="Arial" w:eastAsia="Arial" w:hAnsi="Arial" w:cs="Arial"/>
          <w:color w:val="2F2F2F"/>
          <w:sz w:val="18"/>
        </w:rPr>
        <w:t xml:space="preserve"> </w:t>
      </w:r>
    </w:p>
    <w:p w:rsidR="006E658E" w:rsidRDefault="00CE5C3E">
      <w:pPr>
        <w:spacing w:after="290" w:line="259" w:lineRule="auto"/>
        <w:ind w:left="900" w:firstLine="0"/>
      </w:pPr>
      <w:r>
        <w:rPr>
          <w:rFonts w:ascii="Arial" w:eastAsia="Arial" w:hAnsi="Arial" w:cs="Arial"/>
          <w:color w:val="2F2F2F"/>
          <w:sz w:val="18"/>
        </w:rPr>
        <w:t xml:space="preserve"> </w:t>
      </w:r>
    </w:p>
    <w:p w:rsidR="005E66F7" w:rsidRDefault="00CE5C3E">
      <w:pPr>
        <w:spacing w:after="495" w:line="259" w:lineRule="auto"/>
        <w:ind w:left="480" w:firstLine="0"/>
        <w:rPr>
          <w:rFonts w:ascii="Arial" w:eastAsia="Arial" w:hAnsi="Arial" w:cs="Arial"/>
          <w:b/>
          <w:color w:val="516E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</wp:posOffset>
                </wp:positionH>
                <wp:positionV relativeFrom="paragraph">
                  <wp:posOffset>-639570</wp:posOffset>
                </wp:positionV>
                <wp:extent cx="571500" cy="876300"/>
                <wp:effectExtent l="0" t="0" r="0" b="0"/>
                <wp:wrapSquare wrapText="bothSides"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876300"/>
                          <a:chOff x="0" y="0"/>
                          <a:chExt cx="571500" cy="876300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9" style="width:45pt;height:69pt;position:absolute;mso-position-horizontal-relative:text;mso-position-horizontal:absolute;margin-left:0.0110168pt;mso-position-vertical-relative:text;margin-top:-50.3599pt;" coordsize="5715,8763">
                <v:shape id="Picture 121" style="position:absolute;width:4572;height:4572;left:1143;top:0;" filled="f">
                  <v:imagedata r:id="rId8"/>
                </v:shape>
                <v:shape id="Picture 123" style="position:absolute;width:3048;height:3048;left:0;top:5715;" filled="f">
                  <v:imagedata r:id="rId9"/>
                </v:shape>
                <w10:wrap type="square"/>
              </v:group>
            </w:pict>
          </mc:Fallback>
        </mc:AlternateContent>
      </w:r>
      <w:r w:rsidR="005E66F7">
        <w:rPr>
          <w:rFonts w:ascii="Arial" w:eastAsia="Arial" w:hAnsi="Arial" w:cs="Arial"/>
          <w:b/>
          <w:color w:val="516E00"/>
          <w:sz w:val="24"/>
        </w:rPr>
        <w:t xml:space="preserve">Best Practice Action 5: </w:t>
      </w:r>
    </w:p>
    <w:p w:rsidR="006E658E" w:rsidRDefault="005E66F7">
      <w:pPr>
        <w:spacing w:after="495" w:line="259" w:lineRule="auto"/>
        <w:ind w:left="480" w:firstLine="0"/>
      </w:pPr>
      <w:r w:rsidRPr="005E66F7">
        <w:rPr>
          <w:rFonts w:ascii="Arial" w:eastAsia="Arial" w:hAnsi="Arial" w:cs="Arial"/>
          <w:b/>
          <w:color w:val="516E00"/>
          <w:sz w:val="24"/>
        </w:rPr>
        <w:t>Implement workplace multi-modal transportation best management practices - including telework/</w:t>
      </w:r>
      <w:proofErr w:type="spellStart"/>
      <w:r w:rsidRPr="005E66F7">
        <w:rPr>
          <w:rFonts w:ascii="Arial" w:eastAsia="Arial" w:hAnsi="Arial" w:cs="Arial"/>
          <w:b/>
          <w:color w:val="516E00"/>
          <w:sz w:val="24"/>
        </w:rPr>
        <w:t>flexwork</w:t>
      </w:r>
      <w:proofErr w:type="spellEnd"/>
      <w:r w:rsidRPr="005E66F7">
        <w:rPr>
          <w:rFonts w:ascii="Arial" w:eastAsia="Arial" w:hAnsi="Arial" w:cs="Arial"/>
          <w:b/>
          <w:color w:val="516E00"/>
          <w:sz w:val="24"/>
        </w:rPr>
        <w:t> - in city government, businesses or at a local health care provider.</w:t>
      </w:r>
    </w:p>
    <w:p w:rsidR="006E658E" w:rsidRDefault="00CE5C3E">
      <w:pPr>
        <w:spacing w:after="0" w:line="259" w:lineRule="auto"/>
        <w:ind w:left="-4" w:hanging="10"/>
      </w:pPr>
      <w:r w:rsidRPr="00DD19A1">
        <w:rPr>
          <w:i/>
          <w:u w:val="single"/>
        </w:rPr>
        <w:t>Complete these 6 BMPs to earn 1 star recognition for Gre</w:t>
      </w:r>
      <w:r w:rsidR="005E66F7" w:rsidRPr="00DD19A1">
        <w:rPr>
          <w:i/>
          <w:u w:val="single"/>
        </w:rPr>
        <w:t>enStep best practice action 12.5</w:t>
      </w:r>
      <w:r>
        <w:rPr>
          <w:i/>
        </w:rPr>
        <w:t xml:space="preserve">: </w:t>
      </w:r>
    </w:p>
    <w:p w:rsidR="006E658E" w:rsidRDefault="00CE5C3E">
      <w:pPr>
        <w:spacing w:after="45" w:line="259" w:lineRule="auto"/>
        <w:ind w:left="0" w:firstLine="0"/>
      </w:pPr>
      <w:r>
        <w:t xml:space="preserve"> </w:t>
      </w:r>
    </w:p>
    <w:p w:rsidR="005E66F7" w:rsidRDefault="00CE5C3E" w:rsidP="0070544B">
      <w:pPr>
        <w:spacing w:after="0" w:line="240" w:lineRule="auto"/>
        <w:ind w:left="1076" w:right="15"/>
        <w:rPr>
          <w:b/>
        </w:rPr>
      </w:pP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Multi-modal directions </w:t>
      </w:r>
    </w:p>
    <w:p w:rsidR="006E658E" w:rsidRDefault="00CE5C3E" w:rsidP="0070544B">
      <w:pPr>
        <w:pStyle w:val="ListParagraph"/>
        <w:numPr>
          <w:ilvl w:val="0"/>
          <w:numId w:val="2"/>
        </w:numPr>
        <w:spacing w:after="0" w:line="240" w:lineRule="auto"/>
        <w:ind w:right="15"/>
      </w:pPr>
      <w:r>
        <w:t xml:space="preserve">On your web site, in event/meeting invitations, make clear how a person could arrive on foot, by transit, by bike, and by ride/car sharing, as available. </w:t>
      </w:r>
    </w:p>
    <w:p w:rsidR="0070544B" w:rsidRDefault="00CE5C3E" w:rsidP="0070544B">
      <w:pPr>
        <w:spacing w:after="0"/>
        <w:ind w:left="1076" w:right="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E66F7" w:rsidRDefault="00CE5C3E" w:rsidP="0070544B">
      <w:pPr>
        <w:spacing w:after="0" w:line="240" w:lineRule="auto"/>
        <w:ind w:left="1076" w:right="223"/>
        <w:rPr>
          <w:b/>
        </w:rPr>
      </w:pPr>
      <w:r>
        <w:rPr>
          <w:b/>
        </w:rPr>
        <w:t xml:space="preserve">Accessible off-site locations </w:t>
      </w:r>
    </w:p>
    <w:p w:rsidR="006E658E" w:rsidRDefault="00CE5C3E" w:rsidP="0070544B">
      <w:pPr>
        <w:pStyle w:val="ListParagraph"/>
        <w:numPr>
          <w:ilvl w:val="0"/>
          <w:numId w:val="2"/>
        </w:numPr>
        <w:spacing w:after="0" w:line="240" w:lineRule="auto"/>
        <w:ind w:right="15"/>
      </w:pPr>
      <w:r>
        <w:t>Choose locations for off-site meetings and events that allow a perso</w:t>
      </w:r>
      <w:r>
        <w:t xml:space="preserve">n to use means other than driving alone. </w:t>
      </w:r>
    </w:p>
    <w:p w:rsidR="0070544B" w:rsidRDefault="0070544B" w:rsidP="0070544B">
      <w:pPr>
        <w:spacing w:after="0" w:line="240" w:lineRule="auto"/>
        <w:ind w:left="1076" w:right="531"/>
        <w:rPr>
          <w:b/>
        </w:rPr>
      </w:pPr>
    </w:p>
    <w:p w:rsidR="005E66F7" w:rsidRPr="0070544B" w:rsidRDefault="00CE5C3E" w:rsidP="0070544B">
      <w:pPr>
        <w:spacing w:after="0" w:line="240" w:lineRule="auto"/>
        <w:ind w:left="1076" w:right="531"/>
        <w:rPr>
          <w:rFonts w:ascii="Arial" w:eastAsia="Arial" w:hAnsi="Arial" w:cs="Arial"/>
        </w:rPr>
      </w:pPr>
      <w:r>
        <w:rPr>
          <w:b/>
        </w:rPr>
        <w:t xml:space="preserve">Educate </w:t>
      </w:r>
      <w:r w:rsidR="0070544B">
        <w:rPr>
          <w:b/>
        </w:rPr>
        <w:t>top management/</w:t>
      </w:r>
      <w:r>
        <w:rPr>
          <w:b/>
        </w:rPr>
        <w:t xml:space="preserve">City Council members and staff </w:t>
      </w:r>
    </w:p>
    <w:p w:rsidR="006E658E" w:rsidRDefault="00CE5C3E" w:rsidP="0070544B">
      <w:pPr>
        <w:pStyle w:val="ListParagraph"/>
        <w:numPr>
          <w:ilvl w:val="0"/>
          <w:numId w:val="2"/>
        </w:numPr>
        <w:spacing w:after="0" w:line="240" w:lineRule="auto"/>
        <w:ind w:right="15"/>
      </w:pPr>
      <w:r>
        <w:t>Lunch and learn sessio</w:t>
      </w:r>
      <w:r w:rsidR="0070544B">
        <w:t>ns, handouts, discussion of multi-modalism and organization’s</w:t>
      </w:r>
      <w:r>
        <w:t xml:space="preserve"> mission. </w:t>
      </w:r>
    </w:p>
    <w:p w:rsidR="0070544B" w:rsidRDefault="0070544B">
      <w:pPr>
        <w:spacing w:after="48" w:line="259" w:lineRule="auto"/>
        <w:ind w:left="492" w:firstLine="0"/>
        <w:rPr>
          <w:b/>
        </w:rPr>
      </w:pPr>
    </w:p>
    <w:p w:rsidR="006E658E" w:rsidRDefault="00CE5C3E" w:rsidP="0070544B">
      <w:pPr>
        <w:spacing w:after="0" w:line="240" w:lineRule="auto"/>
        <w:ind w:left="492" w:firstLine="0"/>
        <w:rPr>
          <w:b/>
        </w:rPr>
      </w:pPr>
      <w:r>
        <w:rPr>
          <w:b/>
        </w:rPr>
        <w:t xml:space="preserve">Buddy system </w:t>
      </w:r>
    </w:p>
    <w:p w:rsidR="006E658E" w:rsidRDefault="0070544B" w:rsidP="00C473C6">
      <w:pPr>
        <w:pStyle w:val="ListParagraph"/>
        <w:numPr>
          <w:ilvl w:val="0"/>
          <w:numId w:val="2"/>
        </w:numPr>
        <w:spacing w:after="0" w:line="240" w:lineRule="auto"/>
        <w:ind w:right="15"/>
      </w:pPr>
      <w:r>
        <w:t>P</w:t>
      </w:r>
      <w:r w:rsidR="00CE5C3E">
        <w:t>air people experienced in travel other than single occupa</w:t>
      </w:r>
      <w:r w:rsidR="00CE5C3E">
        <w:t xml:space="preserve">ncy vehicles with others in the workplace to make learning about other modes more effective. </w:t>
      </w:r>
    </w:p>
    <w:p w:rsidR="0070544B" w:rsidRDefault="0070544B" w:rsidP="0070544B">
      <w:pPr>
        <w:spacing w:after="0" w:line="240" w:lineRule="auto"/>
        <w:ind w:left="492" w:right="15" w:firstLine="0"/>
      </w:pPr>
    </w:p>
    <w:p w:rsidR="0070544B" w:rsidRDefault="00CE5C3E" w:rsidP="0070544B">
      <w:pPr>
        <w:spacing w:after="0" w:line="240" w:lineRule="auto"/>
        <w:ind w:left="478" w:right="1244" w:firstLine="0"/>
        <w:rPr>
          <w:b/>
        </w:rPr>
      </w:pPr>
      <w:r>
        <w:rPr>
          <w:b/>
        </w:rPr>
        <w:t>N</w:t>
      </w:r>
      <w:r>
        <w:rPr>
          <w:b/>
        </w:rPr>
        <w:t xml:space="preserve">ew hire orientation </w:t>
      </w:r>
    </w:p>
    <w:p w:rsidR="006E658E" w:rsidRDefault="00CE5C3E" w:rsidP="00175487">
      <w:pPr>
        <w:pStyle w:val="ListParagraph"/>
        <w:numPr>
          <w:ilvl w:val="0"/>
          <w:numId w:val="2"/>
        </w:numPr>
        <w:spacing w:after="0" w:line="240" w:lineRule="auto"/>
        <w:ind w:right="1244"/>
      </w:pPr>
      <w:r>
        <w:t xml:space="preserve">Include a ‘transportation options and benefits’ section in standard new employee training. </w:t>
      </w:r>
    </w:p>
    <w:p w:rsidR="0070544B" w:rsidRDefault="0070544B" w:rsidP="0070544B">
      <w:pPr>
        <w:spacing w:after="0" w:line="240" w:lineRule="auto"/>
        <w:ind w:left="492" w:right="1244" w:firstLine="0"/>
      </w:pPr>
    </w:p>
    <w:p w:rsidR="0070544B" w:rsidRDefault="00CE5C3E" w:rsidP="00175487">
      <w:pPr>
        <w:spacing w:after="0" w:line="240" w:lineRule="auto"/>
        <w:ind w:left="478" w:right="187" w:firstLine="0"/>
        <w:rPr>
          <w:b/>
        </w:rPr>
      </w:pPr>
      <w:r>
        <w:rPr>
          <w:b/>
        </w:rPr>
        <w:t>T</w:t>
      </w:r>
      <w:r>
        <w:rPr>
          <w:b/>
        </w:rPr>
        <w:t xml:space="preserve">ravel logs </w:t>
      </w:r>
    </w:p>
    <w:p w:rsidR="006E658E" w:rsidRDefault="00CE5C3E" w:rsidP="00175487">
      <w:pPr>
        <w:pStyle w:val="ListParagraph"/>
        <w:numPr>
          <w:ilvl w:val="0"/>
          <w:numId w:val="2"/>
        </w:numPr>
        <w:spacing w:after="0" w:line="240" w:lineRule="auto"/>
        <w:ind w:right="187"/>
      </w:pPr>
      <w:r>
        <w:t>Gather information about emplo</w:t>
      </w:r>
      <w:r>
        <w:t xml:space="preserve">yee travel from a travel log survey sent to all staff each spring and fall so as to gauge effectiveness of multi-modal transportation efforts. </w:t>
      </w:r>
    </w:p>
    <w:p w:rsidR="006E658E" w:rsidRDefault="00CE5C3E">
      <w:pPr>
        <w:spacing w:after="0" w:line="259" w:lineRule="auto"/>
        <w:ind w:left="1" w:firstLine="0"/>
      </w:pPr>
      <w:r>
        <w:t xml:space="preserve"> </w:t>
      </w:r>
    </w:p>
    <w:p w:rsidR="00CC2327" w:rsidRDefault="00CC2327">
      <w:pPr>
        <w:spacing w:after="0" w:line="259" w:lineRule="auto"/>
        <w:ind w:left="-4" w:hanging="10"/>
        <w:rPr>
          <w:i/>
          <w:u w:val="single"/>
        </w:rPr>
      </w:pPr>
    </w:p>
    <w:p w:rsidR="006E658E" w:rsidRDefault="00CE5C3E">
      <w:pPr>
        <w:spacing w:after="0" w:line="259" w:lineRule="auto"/>
        <w:ind w:left="-4" w:hanging="10"/>
      </w:pPr>
      <w:r w:rsidRPr="00DD19A1">
        <w:rPr>
          <w:i/>
          <w:u w:val="single"/>
        </w:rPr>
        <w:t>Complete 4 or 6 of these BMPs to earn, respectively, 2 or 3 star recognition for GreenStep best practice actio</w:t>
      </w:r>
      <w:r w:rsidR="005E66F7" w:rsidRPr="00DD19A1">
        <w:rPr>
          <w:i/>
          <w:u w:val="single"/>
        </w:rPr>
        <w:t>n 12.5</w:t>
      </w:r>
      <w:r>
        <w:rPr>
          <w:i/>
        </w:rPr>
        <w:t xml:space="preserve">: </w:t>
      </w:r>
    </w:p>
    <w:p w:rsidR="006E658E" w:rsidRDefault="00CE5C3E">
      <w:pPr>
        <w:spacing w:after="45" w:line="259" w:lineRule="auto"/>
        <w:ind w:left="1" w:firstLine="0"/>
      </w:pPr>
      <w:r>
        <w:t xml:space="preserve"> </w:t>
      </w:r>
    </w:p>
    <w:p w:rsidR="00563502" w:rsidRDefault="00CE5C3E" w:rsidP="00563502">
      <w:pPr>
        <w:spacing w:after="0" w:line="240" w:lineRule="auto"/>
        <w:ind w:left="1076" w:right="15"/>
        <w:rPr>
          <w:b/>
        </w:rPr>
      </w:pPr>
      <w:r>
        <w:rPr>
          <w:b/>
        </w:rPr>
        <w:t xml:space="preserve">Alternative compensation for </w:t>
      </w:r>
      <w:r w:rsidR="009070A2">
        <w:rPr>
          <w:b/>
        </w:rPr>
        <w:t xml:space="preserve">commuting </w:t>
      </w:r>
      <w:r>
        <w:rPr>
          <w:b/>
        </w:rPr>
        <w:t xml:space="preserve">travel options </w:t>
      </w:r>
    </w:p>
    <w:p w:rsidR="006E658E" w:rsidRDefault="00CE5C3E" w:rsidP="00D45F23">
      <w:pPr>
        <w:pStyle w:val="ListParagraph"/>
        <w:numPr>
          <w:ilvl w:val="0"/>
          <w:numId w:val="2"/>
        </w:numPr>
        <w:spacing w:after="0" w:line="240" w:lineRule="auto"/>
        <w:ind w:right="15"/>
      </w:pPr>
      <w:r>
        <w:t xml:space="preserve">Pay part or all costs for transit passes, provide pre-tax payments for transit or biking, </w:t>
      </w:r>
      <w:proofErr w:type="gramStart"/>
      <w:r>
        <w:t>provide</w:t>
      </w:r>
      <w:proofErr w:type="gramEnd"/>
      <w:r>
        <w:t xml:space="preserve"> other financial incentives for not always driving alone to work. </w:t>
      </w:r>
    </w:p>
    <w:p w:rsidR="00563502" w:rsidRDefault="00563502" w:rsidP="00CC2327">
      <w:pPr>
        <w:spacing w:after="0" w:line="240" w:lineRule="auto"/>
        <w:ind w:left="1076" w:right="15"/>
        <w:rPr>
          <w:b/>
        </w:rPr>
      </w:pPr>
    </w:p>
    <w:p w:rsidR="00563502" w:rsidRDefault="00CC2327" w:rsidP="00563502">
      <w:pPr>
        <w:spacing w:after="0" w:line="240" w:lineRule="auto"/>
        <w:ind w:left="1076" w:right="15"/>
        <w:rPr>
          <w:b/>
        </w:rPr>
      </w:pPr>
      <w:r>
        <w:rPr>
          <w:b/>
        </w:rPr>
        <w:t>M</w:t>
      </w:r>
      <w:r w:rsidR="00CE5C3E">
        <w:rPr>
          <w:b/>
        </w:rPr>
        <w:t xml:space="preserve">embership in network transportation options </w:t>
      </w:r>
    </w:p>
    <w:p w:rsidR="006E658E" w:rsidRDefault="00CE5C3E" w:rsidP="00F71BDE">
      <w:pPr>
        <w:pStyle w:val="ListParagraph"/>
        <w:numPr>
          <w:ilvl w:val="0"/>
          <w:numId w:val="2"/>
        </w:numPr>
        <w:spacing w:after="0" w:line="240" w:lineRule="auto"/>
        <w:ind w:left="1076" w:right="15"/>
      </w:pPr>
      <w:r>
        <w:t>Buy</w:t>
      </w:r>
      <w:r w:rsidR="009070A2">
        <w:t>/lease</w:t>
      </w:r>
      <w:r>
        <w:t xml:space="preserve"> a vehicle staff can share, and/or buy a membership in services such as car2go, Nice Ride, HOURCAR, van pool.  </w:t>
      </w:r>
    </w:p>
    <w:p w:rsidR="006E658E" w:rsidRDefault="009070A2" w:rsidP="009070A2">
      <w:pPr>
        <w:pStyle w:val="ListParagraph"/>
        <w:numPr>
          <w:ilvl w:val="0"/>
          <w:numId w:val="2"/>
        </w:numPr>
        <w:spacing w:after="0" w:line="240" w:lineRule="auto"/>
        <w:ind w:left="1076" w:right="15"/>
      </w:pPr>
      <w:r>
        <w:t>E</w:t>
      </w:r>
      <w:r w:rsidR="00CE5C3E">
        <w:t>ncourage use of modes other than driving alone for travel during the day, e.g., walk</w:t>
      </w:r>
      <w:r>
        <w:t xml:space="preserve"> to nearby locations, carpool,</w:t>
      </w:r>
      <w:r w:rsidR="00CE5C3E">
        <w:t xml:space="preserve"> </w:t>
      </w:r>
      <w:proofErr w:type="gramStart"/>
      <w:r w:rsidR="00CE5C3E">
        <w:t>provide</w:t>
      </w:r>
      <w:proofErr w:type="gramEnd"/>
      <w:r w:rsidR="00CE5C3E">
        <w:t xml:space="preserve"> information for taking transit or bicycling to frequent destinations.  </w:t>
      </w:r>
    </w:p>
    <w:p w:rsidR="009070A2" w:rsidRDefault="009070A2" w:rsidP="009070A2">
      <w:pPr>
        <w:spacing w:after="0" w:line="240" w:lineRule="auto"/>
        <w:ind w:left="356" w:right="15" w:firstLine="0"/>
      </w:pPr>
    </w:p>
    <w:p w:rsidR="009070A2" w:rsidRDefault="009070A2" w:rsidP="009070A2">
      <w:pPr>
        <w:spacing w:after="0" w:line="240" w:lineRule="auto"/>
        <w:ind w:left="1076" w:right="279"/>
        <w:rPr>
          <w:b/>
        </w:rPr>
      </w:pPr>
    </w:p>
    <w:p w:rsidR="009070A2" w:rsidRDefault="00CE5C3E" w:rsidP="009070A2">
      <w:pPr>
        <w:spacing w:after="0" w:line="240" w:lineRule="auto"/>
        <w:ind w:left="1076" w:right="279"/>
        <w:rPr>
          <w:b/>
        </w:rPr>
      </w:pPr>
      <w:r>
        <w:rPr>
          <w:b/>
        </w:rPr>
        <w:lastRenderedPageBreak/>
        <w:t>S</w:t>
      </w:r>
      <w:r>
        <w:rPr>
          <w:b/>
        </w:rPr>
        <w:t xml:space="preserve">hower / changing room </w:t>
      </w:r>
    </w:p>
    <w:p w:rsidR="006E658E" w:rsidRDefault="00CE5C3E" w:rsidP="009070A2">
      <w:pPr>
        <w:pStyle w:val="ListParagraph"/>
        <w:numPr>
          <w:ilvl w:val="0"/>
          <w:numId w:val="2"/>
        </w:numPr>
        <w:spacing w:after="0" w:line="240" w:lineRule="auto"/>
        <w:ind w:left="1076" w:right="279"/>
      </w:pPr>
      <w:r>
        <w:t>Provide facilities that encourag</w:t>
      </w:r>
      <w:r>
        <w:t xml:space="preserve">e employees to use transport options such as biking, walking, running. </w:t>
      </w:r>
    </w:p>
    <w:p w:rsidR="009070A2" w:rsidRDefault="009070A2" w:rsidP="009070A2">
      <w:pPr>
        <w:spacing w:after="0" w:line="240" w:lineRule="auto"/>
        <w:ind w:left="356" w:right="279" w:firstLine="0"/>
      </w:pPr>
    </w:p>
    <w:p w:rsidR="009070A2" w:rsidRDefault="00CE5C3E" w:rsidP="009070A2">
      <w:pPr>
        <w:spacing w:after="0" w:line="240" w:lineRule="auto"/>
        <w:ind w:left="0" w:right="2996" w:firstLine="478"/>
        <w:rPr>
          <w:b/>
        </w:rPr>
      </w:pPr>
      <w:r>
        <w:rPr>
          <w:b/>
        </w:rPr>
        <w:t xml:space="preserve">Parking / storage </w:t>
      </w:r>
    </w:p>
    <w:p w:rsidR="006E658E" w:rsidRPr="009070A2" w:rsidRDefault="00CE5C3E" w:rsidP="009070A2">
      <w:pPr>
        <w:pStyle w:val="ListParagraph"/>
        <w:numPr>
          <w:ilvl w:val="0"/>
          <w:numId w:val="2"/>
        </w:numPr>
        <w:spacing w:after="0" w:line="240" w:lineRule="auto"/>
        <w:ind w:right="2996"/>
        <w:rPr>
          <w:b/>
        </w:rPr>
      </w:pPr>
      <w:r>
        <w:t xml:space="preserve">Install/expand indoor / outdoor bicycle parking racks/storage facilities. </w:t>
      </w:r>
    </w:p>
    <w:p w:rsidR="009070A2" w:rsidRPr="009070A2" w:rsidRDefault="009070A2" w:rsidP="002469CE">
      <w:pPr>
        <w:pStyle w:val="ListParagraph"/>
        <w:numPr>
          <w:ilvl w:val="0"/>
          <w:numId w:val="1"/>
        </w:numPr>
        <w:spacing w:after="39" w:line="240" w:lineRule="auto"/>
        <w:ind w:right="15" w:hanging="360"/>
      </w:pPr>
      <w:r>
        <w:t>Pr</w:t>
      </w:r>
      <w:r w:rsidR="00CE5C3E">
        <w:t xml:space="preserve">ovide priority parking for carpools and/or Electric Vehicles </w:t>
      </w:r>
      <w:r w:rsidR="00CE5C3E" w:rsidRPr="009070A2">
        <w:rPr>
          <w:rFonts w:ascii="Arial" w:eastAsia="Arial" w:hAnsi="Arial" w:cs="Arial"/>
        </w:rPr>
        <w:t xml:space="preserve"> </w:t>
      </w:r>
    </w:p>
    <w:p w:rsidR="009070A2" w:rsidRPr="009070A2" w:rsidRDefault="009070A2" w:rsidP="009070A2">
      <w:pPr>
        <w:spacing w:after="0" w:line="240" w:lineRule="auto"/>
        <w:ind w:left="852" w:right="15" w:firstLine="0"/>
      </w:pPr>
    </w:p>
    <w:p w:rsidR="009070A2" w:rsidRDefault="00CE5C3E" w:rsidP="00CE5C3E">
      <w:pPr>
        <w:spacing w:after="0" w:line="240" w:lineRule="auto"/>
        <w:ind w:right="15"/>
        <w:rPr>
          <w:b/>
        </w:rPr>
      </w:pPr>
      <w:r w:rsidRPr="009070A2">
        <w:rPr>
          <w:b/>
        </w:rPr>
        <w:t>Employee learning activi</w:t>
      </w:r>
      <w:r w:rsidRPr="009070A2">
        <w:rPr>
          <w:b/>
        </w:rPr>
        <w:t xml:space="preserve">ty </w:t>
      </w:r>
    </w:p>
    <w:p w:rsidR="009070A2" w:rsidRPr="009070A2" w:rsidRDefault="00CE5C3E" w:rsidP="009070A2">
      <w:pPr>
        <w:pStyle w:val="ListParagraph"/>
        <w:numPr>
          <w:ilvl w:val="0"/>
          <w:numId w:val="2"/>
        </w:numPr>
        <w:spacing w:after="39" w:line="240" w:lineRule="auto"/>
        <w:ind w:right="15"/>
      </w:pPr>
      <w:r>
        <w:t xml:space="preserve">Sponsor / organize, at least once a year, a group activity such as a bike ride, a transit options fair. </w:t>
      </w:r>
      <w:r w:rsidRPr="009070A2">
        <w:rPr>
          <w:rFonts w:ascii="Arial" w:eastAsia="Arial" w:hAnsi="Arial" w:cs="Arial"/>
        </w:rPr>
        <w:t xml:space="preserve"> </w:t>
      </w:r>
    </w:p>
    <w:p w:rsidR="009070A2" w:rsidRPr="009070A2" w:rsidRDefault="009070A2" w:rsidP="009070A2">
      <w:pPr>
        <w:spacing w:after="39" w:line="240" w:lineRule="auto"/>
        <w:ind w:left="852" w:right="15" w:firstLine="0"/>
      </w:pPr>
    </w:p>
    <w:p w:rsidR="006E658E" w:rsidRDefault="00CE5C3E" w:rsidP="00CE5C3E">
      <w:pPr>
        <w:spacing w:after="0" w:line="240" w:lineRule="auto"/>
        <w:ind w:left="0" w:right="15" w:firstLine="450"/>
      </w:pPr>
      <w:r w:rsidRPr="009070A2">
        <w:rPr>
          <w:b/>
        </w:rPr>
        <w:t xml:space="preserve">Transportation committee </w:t>
      </w:r>
    </w:p>
    <w:p w:rsidR="006E658E" w:rsidRDefault="00CE5C3E" w:rsidP="00CE5C3E">
      <w:pPr>
        <w:numPr>
          <w:ilvl w:val="0"/>
          <w:numId w:val="1"/>
        </w:numPr>
        <w:spacing w:after="0" w:line="240" w:lineRule="auto"/>
        <w:ind w:right="15" w:hanging="360"/>
      </w:pPr>
      <w:r>
        <w:t>U</w:t>
      </w:r>
      <w:r>
        <w:t>se an existing employee group, such as a wellness group, or create a new group, to refine implementation of these transportation BMPs</w:t>
      </w:r>
      <w:r>
        <w:t xml:space="preserve">. </w:t>
      </w:r>
    </w:p>
    <w:p w:rsidR="00CE5C3E" w:rsidRDefault="00CE5C3E" w:rsidP="00CE5C3E">
      <w:pPr>
        <w:spacing w:after="0" w:line="240" w:lineRule="auto"/>
        <w:ind w:left="852" w:right="15" w:firstLine="0"/>
      </w:pPr>
    </w:p>
    <w:p w:rsidR="009070A2" w:rsidRDefault="00CE5C3E" w:rsidP="00CE5C3E">
      <w:pPr>
        <w:spacing w:after="0" w:line="240" w:lineRule="auto"/>
        <w:ind w:left="1076" w:right="15"/>
        <w:rPr>
          <w:b/>
        </w:rPr>
      </w:pPr>
      <w:r>
        <w:rPr>
          <w:b/>
        </w:rPr>
        <w:t xml:space="preserve">Flexible workplace policies / practices </w:t>
      </w:r>
    </w:p>
    <w:p w:rsidR="006E658E" w:rsidRDefault="00CE5C3E" w:rsidP="002067D3">
      <w:pPr>
        <w:pStyle w:val="ListParagraph"/>
        <w:numPr>
          <w:ilvl w:val="0"/>
          <w:numId w:val="2"/>
        </w:numPr>
        <w:spacing w:after="0" w:line="240" w:lineRule="auto"/>
        <w:ind w:left="1076" w:right="15"/>
      </w:pPr>
      <w:bookmarkStart w:id="0" w:name="_GoBack"/>
      <w:bookmarkEnd w:id="0"/>
      <w:r>
        <w:t xml:space="preserve">Allow telecommuting, adjustable start/end times, ‘dress for the day,’ to </w:t>
      </w:r>
      <w:r>
        <w:t xml:space="preserve">accommodate transit schedules and commuting by modes other than driving alone. </w:t>
      </w:r>
    </w:p>
    <w:sectPr w:rsidR="006E658E">
      <w:pgSz w:w="12240" w:h="15840"/>
      <w:pgMar w:top="615" w:right="760" w:bottom="8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AA1"/>
    <w:multiLevelType w:val="hybridMultilevel"/>
    <w:tmpl w:val="6ED0BE78"/>
    <w:lvl w:ilvl="0" w:tplc="7B8643C8">
      <w:start w:val="1"/>
      <w:numFmt w:val="bullet"/>
      <w:lvlText w:val="o"/>
      <w:lvlJc w:val="left"/>
      <w:pPr>
        <w:ind w:left="1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48E10">
      <w:start w:val="1"/>
      <w:numFmt w:val="bullet"/>
      <w:lvlText w:val="o"/>
      <w:lvlJc w:val="left"/>
      <w:pPr>
        <w:ind w:left="17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A2950">
      <w:start w:val="1"/>
      <w:numFmt w:val="bullet"/>
      <w:lvlText w:val="▪"/>
      <w:lvlJc w:val="left"/>
      <w:pPr>
        <w:ind w:left="2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EBDCA">
      <w:start w:val="1"/>
      <w:numFmt w:val="bullet"/>
      <w:lvlText w:val="•"/>
      <w:lvlJc w:val="left"/>
      <w:pPr>
        <w:ind w:left="32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8C1FE">
      <w:start w:val="1"/>
      <w:numFmt w:val="bullet"/>
      <w:lvlText w:val="o"/>
      <w:lvlJc w:val="left"/>
      <w:pPr>
        <w:ind w:left="39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D7A">
      <w:start w:val="1"/>
      <w:numFmt w:val="bullet"/>
      <w:lvlText w:val="▪"/>
      <w:lvlJc w:val="left"/>
      <w:pPr>
        <w:ind w:left="4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40A0">
      <w:start w:val="1"/>
      <w:numFmt w:val="bullet"/>
      <w:lvlText w:val="•"/>
      <w:lvlJc w:val="left"/>
      <w:pPr>
        <w:ind w:left="5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C5E5C">
      <w:start w:val="1"/>
      <w:numFmt w:val="bullet"/>
      <w:lvlText w:val="o"/>
      <w:lvlJc w:val="left"/>
      <w:pPr>
        <w:ind w:left="6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4AD2E">
      <w:start w:val="1"/>
      <w:numFmt w:val="bullet"/>
      <w:lvlText w:val="▪"/>
      <w:lvlJc w:val="left"/>
      <w:pPr>
        <w:ind w:left="6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C7297"/>
    <w:multiLevelType w:val="hybridMultilevel"/>
    <w:tmpl w:val="AD46EBD8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8E"/>
    <w:rsid w:val="00175487"/>
    <w:rsid w:val="002120B8"/>
    <w:rsid w:val="0052542E"/>
    <w:rsid w:val="00563502"/>
    <w:rsid w:val="005E66F7"/>
    <w:rsid w:val="006E658E"/>
    <w:rsid w:val="0070544B"/>
    <w:rsid w:val="009070A2"/>
    <w:rsid w:val="00CC2327"/>
    <w:rsid w:val="00CE5C3E"/>
    <w:rsid w:val="00D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C778"/>
  <w15:docId w15:val="{23C69C55-9D61-4E82-B505-9AEC937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10" w:lineRule="auto"/>
      <w:ind w:left="1090" w:hanging="598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color w:val="2F2F2F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2F2F2F"/>
      <w:sz w:val="29"/>
    </w:rPr>
  </w:style>
  <w:style w:type="paragraph" w:styleId="ListParagraph">
    <w:name w:val="List Paragraph"/>
    <w:basedOn w:val="Normal"/>
    <w:uiPriority w:val="34"/>
    <w:qFormat/>
    <w:rsid w:val="0070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greenstep.pca.state.mn.us/bestPracticesDetail.cfm?bpnum=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Muessig, Philipp</dc:creator>
  <cp:keywords/>
  <cp:lastModifiedBy>Muessig, Philipp (MPCA)</cp:lastModifiedBy>
  <cp:revision>6</cp:revision>
  <dcterms:created xsi:type="dcterms:W3CDTF">2019-10-25T15:08:00Z</dcterms:created>
  <dcterms:modified xsi:type="dcterms:W3CDTF">2019-10-25T16:36:00Z</dcterms:modified>
</cp:coreProperties>
</file>