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2020 Category A City:  BROOKLYN CENTER</w:t>
      </w:r>
    </w:p>
    <w:p>
      <w:pPr>
        <w:pStyle w:val="Body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Currently a </w:t>
      </w:r>
      <w:r>
        <w:rPr>
          <w:sz w:val="28"/>
          <w:szCs w:val="28"/>
          <w:u w:val="single"/>
          <w:rtl w:val="0"/>
          <w:lang w:val="en-US"/>
        </w:rPr>
        <w:t>Step 2</w:t>
      </w:r>
      <w:r>
        <w:rPr>
          <w:sz w:val="28"/>
          <w:szCs w:val="28"/>
          <w:rtl w:val="0"/>
          <w:lang w:val="nl-NL"/>
        </w:rPr>
        <w:t xml:space="preserve"> GreenStep City</w:t>
      </w:r>
    </w:p>
    <w:p>
      <w:pPr>
        <w:pStyle w:val="Body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(joined January 2015 )</w:t>
      </w:r>
    </w:p>
    <w:p>
      <w:pPr>
        <w:pStyle w:val="Body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21.2pt;margin-top:12.2pt;width:20.8pt;height:21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Body"/>
        <w:spacing w:after="0" w:line="240" w:lineRule="auto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Which assessment</w:t>
      </w:r>
      <w:r>
        <w:rPr>
          <w:i w:val="1"/>
          <w:iCs w:val="1"/>
          <w:rtl w:val="0"/>
          <w:lang w:val="en-US"/>
        </w:rPr>
        <w:t>?    Preliminary: for city review                Final: May 1</w:t>
      </w:r>
      <w:r>
        <w:rPr>
          <w:i w:val="1"/>
          <w:iCs w:val="1"/>
          <w:vertAlign w:val="superscript"/>
          <w:rtl w:val="0"/>
        </w:rPr>
        <w:t>st</w:t>
      </w:r>
      <w:r>
        <w:rPr>
          <w:i w:val="1"/>
          <w:iCs w:val="1"/>
          <w:rtl w:val="0"/>
          <w:lang w:val="en-US"/>
        </w:rPr>
        <w:t xml:space="preserve"> recommendation to LMC  </w: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</w:p>
    <w:p>
      <w:pPr>
        <w:pStyle w:val="Body"/>
        <w:spacing w:after="0" w:line="240" w:lineRule="auto"/>
        <w:rPr>
          <w:i w:val="1"/>
          <w:iCs w:val="1"/>
        </w:rPr>
      </w:pP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488.2pt;margin-top:12.8pt;width:36.8pt;height:27.6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NO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60.2pt;margin-top:12.8pt;width:39.8pt;height:27.6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NO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 w:val="1"/>
          <w:bCs w:val="1"/>
          <w:i w:val="1"/>
          <w:iCs w:val="1"/>
          <w:rtl w:val="0"/>
          <w:lang w:val="en-US"/>
        </w:rPr>
        <w:t>Assessor and date</w:t>
      </w:r>
      <w:r>
        <w:rPr>
          <w:i w:val="1"/>
          <w:iCs w:val="1"/>
          <w:rtl w:val="0"/>
        </w:rPr>
        <w:t xml:space="preserve">:     Philipp Muessig,  </w:t>
      </w:r>
      <w:r>
        <w:rPr>
          <w:b w:val="1"/>
          <w:bCs w:val="1"/>
          <w:i w:val="1"/>
          <w:iCs w:val="1"/>
        </w:rPr>
        <w:tab/>
      </w:r>
      <w:r>
        <w:rPr>
          <w:b w:val="1"/>
          <w:bCs w:val="1"/>
          <w:i w:val="1"/>
          <w:iCs w:val="1"/>
          <w:rtl w:val="0"/>
          <w:lang w:val="en-US"/>
        </w:rPr>
        <w:t>4/27</w:t>
      </w:r>
      <w:r>
        <w:rPr>
          <w:i w:val="1"/>
          <w:iCs w:val="1"/>
          <w:rtl w:val="0"/>
        </w:rPr>
        <w:t>/20</w: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78.8pt;margin-top:5.3pt;width:30.8pt;height:24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 xml:space="preserve">Total BPs done:                                All required BPs done?  </w:t>
        <w:tab/>
        <w:t xml:space="preserve">               BP distribution requirements met?</w: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3263815</wp:posOffset>
                </wp:positionH>
                <wp:positionV relativeFrom="line">
                  <wp:posOffset>117474</wp:posOffset>
                </wp:positionV>
                <wp:extent cx="323850" cy="294640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257.0pt;margin-top:9.2pt;width:25.5pt;height:23.2pt;z-index:251663360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Recommend June 2019 public recognition at:       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Step 3</w:t>
      </w:r>
      <w:r>
        <w:rPr>
          <w:b w:val="1"/>
          <w:bCs w:val="1"/>
          <w:i w:val="1"/>
          <w:iCs w:val="1"/>
          <w:rtl w:val="0"/>
        </w:rPr>
        <w:t xml:space="preserve">  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u w:val="single"/>
          <w:rtl w:val="0"/>
          <w:lang w:val="en-US"/>
        </w:rPr>
        <w:t>Recognition at a Step 3 level</w:t>
      </w:r>
      <w:r>
        <w:rPr>
          <w:rtl w:val="0"/>
          <w:lang w:val="en-US"/>
        </w:rPr>
        <w:t xml:space="preserve"> involves completing, at a minimum:</w:t>
      </w:r>
    </w:p>
    <w:p>
      <w:pPr>
        <w:pStyle w:val="List Paragraph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BP 1 (Public Buildings): action 1.2 &amp; 1 other action</w:t>
      </w:r>
    </w:p>
    <w:p>
      <w:pPr>
        <w:pStyle w:val="List Paragraph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 xml:space="preserve">BP 15 (Purchasing): action 15.1 </w:t>
      </w:r>
    </w:p>
    <w:p>
      <w:pPr>
        <w:pStyle w:val="List Paragraph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Action 24.2 (plan goals/outcomes)</w:t>
      </w:r>
    </w:p>
    <w:p>
      <w:pPr>
        <w:pStyle w:val="List Paragraph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BP 25 (Green Business): any 2 actions</w:t>
      </w:r>
    </w:p>
    <w:p>
      <w:pPr>
        <w:pStyle w:val="List Paragraph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Action 29.1 (emergency management)</w:t>
      </w:r>
    </w:p>
    <w:p>
      <w:pPr>
        <w:pStyle w:val="List Paragraph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Any 3 additional BPs</w:t>
      </w:r>
    </w:p>
    <w:p>
      <w:pPr>
        <w:pStyle w:val="Body"/>
        <w:spacing w:after="0" w:line="240" w:lineRule="auto"/>
        <w:jc w:val="right"/>
      </w:pPr>
      <w:r>
        <w:rPr>
          <w:rtl w:val="0"/>
        </w:rPr>
        <w:t xml:space="preserve">* </w:t>
      </w:r>
      <w:r>
        <w:rPr>
          <w:sz w:val="20"/>
          <w:szCs w:val="20"/>
          <w:rtl w:val="0"/>
          <w:lang w:val="en-US"/>
        </w:rPr>
        <w:t>note: requirements are for Step 3 recognition</w:t>
      </w:r>
    </w:p>
    <w:p>
      <w:pPr>
        <w:pStyle w:val="Body"/>
        <w:spacing w:after="0" w:line="240" w:lineRule="auto"/>
      </w:pPr>
    </w:p>
    <w:tbl>
      <w:tblPr>
        <w:tblW w:w="1099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68"/>
        <w:gridCol w:w="810"/>
        <w:gridCol w:w="7020"/>
      </w:tblGrid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Best practices (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required in bold</w:t>
            </w:r>
            <w:r>
              <w:rPr>
                <w:shd w:val="nil" w:color="auto" w:fill="auto"/>
                <w:rtl w:val="0"/>
                <w:lang w:val="en-US"/>
              </w:rPr>
              <w:t>)      BP implemented?      Action summary by # and star level achieved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Action rules (req.  actions in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bold</w:t>
            </w:r>
            <w:r>
              <w:rPr>
                <w:shd w:val="nil" w:color="auto" w:fill="auto"/>
                <w:rtl w:val="0"/>
                <w:lang w:val="en-US"/>
              </w:rPr>
              <w:t xml:space="preserve">)                                                                                                  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  BUILDINGS: distribution requirement is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;     are 2 BPs done?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1. Public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Actions 1 &amp; 2; &amp; one action from actions 3-7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1.1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5 years for gas and electricity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2. Private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3. New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action 1 or 2; one from 3-5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7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4. Lighting/Signals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2 actions with one from 5-8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4.5  COMPLETE @ 2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3 LEDs installed: park parking lot lights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4.8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 xml:space="preserve">move to 4.3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 xml:space="preserve">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all City owned Streetlights have been replaced with LED's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5. Reuse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LAND USE: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                             are 2 BPs done?</w:t>
            </w:r>
          </w:p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6. Comp Plan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Actions 1 &amp; 2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6.1  COMPLETE @ 1 STAR -- 2010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6.2  COMPLETE @ 2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City policy: zoning classifications must be consistent with the Comprehensive Plan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7. Density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17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8. Mixed Uses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14:textFill>
                  <w14:solidFill>
                    <w14:srgbClr w14:val="516F00"/>
                  </w14:solidFill>
                </w14:textFill>
              </w:rPr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8.2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City Hall/Community Center have bike racks, are adjacent to regional bike trail &amp; busses; Hennepin County Brookdale Service Center shares the same traits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8.3  COMPLETE @ 1 STAR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PUD ordinance allows mixed uses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9. Highway Development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10. Conservation Development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     TRANSPORTATION: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              are 2 BPs done? </w:t>
            </w:r>
          </w:p>
        </w:tc>
      </w:tr>
      <w:tr>
        <w:tblPrEx>
          <w:shd w:val="clear" w:color="auto" w:fill="ced7e7"/>
        </w:tblPrEx>
        <w:trPr>
          <w:trHeight w:val="1284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11. Complete Green Streets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1; &amp; two additional actions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11.1  COMPLETE @ 2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formal 23 p. policy with worksheet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11.5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3 Rivers trail connection on 57th Ave to  connect Shingle Creek trail with Minneapolis Ms. River park/trail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11.6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63rd Ave N: reducing street width,  installation of several bump outs and medians</w:t>
            </w:r>
          </w:p>
        </w:tc>
      </w:tr>
      <w:tr>
        <w:tblPrEx>
          <w:shd w:val="clear" w:color="auto" w:fill="ced7e7"/>
        </w:tblPrEx>
        <w:trPr>
          <w:trHeight w:val="1544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12. Mobility Options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any two actions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12.1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52 bike racks at city building, parks and Metro Transit locations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12.2  COMPLETE @ 2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SRTS study with 9 schools; resident engagement with bike trail planning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12.3  COMPLETE @ 2 STARS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044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13. Fleets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  <w:r>
              <w:rPr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13.4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4 police bikes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13.6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All new mobile engines &amp; generators are replaced with Tier 4 Diesel engines</w:t>
            </w:r>
            <w:r>
              <w:rPr>
                <w:rFonts w:ascii="Arial" w:cs="Arial" w:hAnsi="Arial" w:eastAsia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14:textFill>
                  <w14:solidFill>
                    <w14:srgbClr w14:val="516F0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7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14. TOD / TDM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14.4  COMPLETE @ 2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2015 Travel Demand Policy for redevelopment. A two tier system; a required TCM plan for employers with 200 stalls or more, and a good faith component for all others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      ENVIRON MGT: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4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                            are 4 done?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15. Purchasing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1; and one additional action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15.7 </w:t>
            </w:r>
            <w:r>
              <w:rPr>
                <w:rtl w:val="0"/>
                <w:lang w:val="en-US"/>
              </w:rPr>
              <w:t xml:space="preserve">— </w:t>
            </w:r>
            <w:r>
              <w:rPr>
                <w:rtl w:val="0"/>
                <w:lang w:val="en-US"/>
              </w:rPr>
              <w:t xml:space="preserve">2 STARS:  </w:t>
            </w:r>
            <w:r>
              <w:rPr>
                <w:rtl w:val="0"/>
                <w:lang w:val="en-US"/>
              </w:rPr>
              <w:t>ordinance to eliminate the purchase of one time use plastic and Styrofoam straws, cups, plates and utensils with City funds for all City buildings</w:t>
            </w: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16. Trees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any two actions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16.1  COMPLETE @ 1 STAR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22 yrs.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16.6  COMPLETE @ 2 STARS</w:t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17. Stormwater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any one action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17.4  COMPLETE @ 1 STAR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17.6  this action is now about salt; 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erosion control rules apply to sites at 1/2 acre &amp; greater</w:t>
            </w:r>
          </w:p>
        </w:tc>
      </w:tr>
      <w:tr>
        <w:tblPrEx>
          <w:shd w:val="clear" w:color="auto" w:fill="ced7e7"/>
        </w:tblPrEx>
        <w:trPr>
          <w:trHeight w:val="777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18. Parks &amp; Trails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three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18.3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at least 7 acres of parks for 1000 residents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18.8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Adopt a Park / Garden / Bus Shelter programs; Shingle Creek annual clean-up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19. Surface Water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if state public water:  4; and one additional action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if </w:t>
            </w:r>
            <w:r>
              <w:rPr>
                <w:u w:val="single"/>
                <w:shd w:val="nil" w:color="auto" w:fill="auto"/>
                <w:rtl w:val="0"/>
                <w:lang w:val="en-US"/>
              </w:rPr>
              <w:t>no</w:t>
            </w:r>
            <w:r>
              <w:rPr>
                <w:shd w:val="nil" w:color="auto" w:fill="auto"/>
                <w:rtl w:val="0"/>
                <w:lang w:val="en-US"/>
              </w:rPr>
              <w:t xml:space="preserve"> state water: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19.4  COMPLETE @ 1 STAR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19.6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Improved practices for applying road salt; 5-five year review of practices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20. Water / Wastewater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1 &amp; 2; and one additional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20.4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—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3 STARS:  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Treatment plant cost-cutting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with electricity peak-shaving strategies, reduced fluoride levels, reclaiming 90% of backwash water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21. Septics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22. Solid Waste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1 or 2; &amp; one from 4-8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23. Local Air Quality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 ECON &amp; COMM DVLP: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3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                   are 3 done?</w:t>
            </w:r>
          </w:p>
        </w:tc>
      </w:tr>
      <w:tr>
        <w:tblPrEx>
          <w:shd w:val="clear" w:color="auto" w:fill="ced7e7"/>
        </w:tblPrEx>
        <w:trPr>
          <w:trHeight w:val="1017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24. Benchmarks &amp; Involvement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Actions 1 &amp; 2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lang w:val="en-US"/>
                <w14:textFill>
                  <w14:solidFill>
                    <w14:srgbClr w14:val="516F00"/>
                  </w14:solidFill>
                </w14:textFill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24.1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Park &amp; Rec Commission 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community members - leads/engages on issues within the community on conservation and sustainability</w:t>
            </w:r>
          </w:p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24.</w:t>
            </w:r>
            <w:r>
              <w:rPr>
                <w:shd w:val="nil" w:color="auto" w:fill="auto"/>
                <w:rtl w:val="0"/>
                <w:lang w:val="en-US"/>
              </w:rPr>
              <w:t xml:space="preserve">6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 xml:space="preserve">1 STAR:  </w:t>
            </w:r>
            <w:r>
              <w:rPr>
                <w:shd w:val="nil" w:color="auto" w:fill="auto"/>
                <w:rtl w:val="0"/>
                <w:lang w:val="en-US"/>
              </w:rPr>
              <w:t xml:space="preserve">Youth in Government Day started 2015 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25. Green Businesses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26. Renewable Energy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27. Local Food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28. Business Synergies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action 2, 3 or 4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29.  Climate Adaptation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action 1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29.3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—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 STARS:  2015 BrookLynk, a youth employment program with Brooklyn Park with three components: 21st century skill building and training, experiential employment opportunities and development of social capital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BROOKLYN CENTER </w:t>
      </w:r>
      <w:r>
        <w:rPr>
          <w:rtl w:val="0"/>
        </w:rPr>
        <w:t xml:space="preserve">– </w:t>
      </w:r>
      <w:r>
        <w:rPr>
          <w:rtl w:val="0"/>
          <w:lang w:val="fr-FR"/>
        </w:rPr>
        <w:t>notable actions</w:t>
      </w:r>
    </w:p>
    <w:p>
      <w:pPr>
        <w:pStyle w:val="List 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4 police bikes, 52 bike racks</w:t>
      </w:r>
      <w:r>
        <w:rPr>
          <w:rtl w:val="0"/>
          <w:lang w:val="en-US"/>
        </w:rPr>
        <w:t xml:space="preserve"> around town, Safe Routes to School study of 9 schools</w:t>
      </w:r>
    </w:p>
    <w:p>
      <w:pPr>
        <w:pStyle w:val="List 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Improved road salt</w:t>
      </w:r>
      <w:r>
        <w:rPr>
          <w:rtl w:val="0"/>
          <w:lang w:val="en-US"/>
        </w:rPr>
        <w:t xml:space="preserve"> application practices; 5-five year review of salt practices </w:t>
      </w:r>
    </w:p>
    <w:p>
      <w:pPr>
        <w:pStyle w:val="Body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Formal complete streets policy</w:t>
      </w:r>
      <w:r>
        <w:rPr>
          <w:b w:val="0"/>
          <w:bCs w:val="0"/>
          <w:rtl w:val="0"/>
          <w:lang w:val="en-US"/>
        </w:rPr>
        <w:t xml:space="preserve"> includes a project worksheet</w:t>
      </w:r>
    </w:p>
    <w:p>
      <w:pPr>
        <w:pStyle w:val="Body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2015 Travel Demand Management policy</w:t>
      </w:r>
      <w:r>
        <w:rPr>
          <w:rtl w:val="0"/>
          <w:lang w:val="en-US"/>
        </w:rPr>
        <w:t xml:space="preserve"> for redevelopment has a two-tier system: a required TDM plan for employers with 200 car parking stalls or more, and a good-faith component for all others</w:t>
      </w:r>
    </w:p>
    <w:p>
      <w:pPr>
        <w:pStyle w:val="Body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 xml:space="preserve">Treatment plant cost-cutting </w:t>
      </w:r>
      <w:r>
        <w:rPr>
          <w:rtl w:val="0"/>
          <w:lang w:val="en-US"/>
        </w:rPr>
        <w:t>with electricity peak-shaving strategies, reduced fluoride levels, reclaiming 90% of backwash water</w:t>
      </w:r>
    </w:p>
    <w:p>
      <w:pPr>
        <w:pStyle w:val="Body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 xml:space="preserve">2015 </w:t>
      </w:r>
      <w:r>
        <w:rPr>
          <w:b w:val="1"/>
          <w:bCs w:val="1"/>
          <w:rtl w:val="0"/>
          <w:lang w:val="en-US"/>
        </w:rPr>
        <w:t>BrookLynk, a youth employment program</w:t>
      </w:r>
      <w:r>
        <w:rPr>
          <w:rtl w:val="0"/>
        </w:rPr>
        <w:t xml:space="preserve"> </w:t>
      </w:r>
      <w:r>
        <w:rPr>
          <w:rtl w:val="0"/>
          <w:lang w:val="en-US"/>
        </w:rPr>
        <w:t>for</w:t>
      </w:r>
      <w:r>
        <w:rPr>
          <w:rtl w:val="0"/>
          <w:lang w:val="en-US"/>
        </w:rPr>
        <w:t xml:space="preserve"> 21st century skill building and training, experiential employment opportunities 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>and development of social capital</w:t>
      </w:r>
    </w:p>
    <w:p>
      <w:pPr>
        <w:pStyle w:val="List Paragraph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/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