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after="0" w:line="240" w:lineRule="auto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2020 Category B City: ELY</w:t>
      </w:r>
    </w:p>
    <w:p>
      <w:pPr>
        <w:pStyle w:val="Body A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 xml:space="preserve">Currently a </w:t>
      </w:r>
      <w:r>
        <w:rPr>
          <w:sz w:val="20"/>
          <w:szCs w:val="20"/>
          <w:u w:val="single"/>
          <w:rtl w:val="0"/>
          <w:lang w:val="en-US"/>
        </w:rPr>
        <w:t>Step 2</w:t>
      </w:r>
      <w:r>
        <w:rPr>
          <w:sz w:val="20"/>
          <w:szCs w:val="20"/>
          <w:rtl w:val="0"/>
          <w:lang w:val="en-US"/>
        </w:rPr>
        <w:t xml:space="preserve"> GreenStep City as of June 2016</w:t>
      </w:r>
    </w:p>
    <w:p>
      <w:pPr>
        <w:pStyle w:val="Body A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- joined January 2014 -</w:t>
      </w:r>
    </w:p>
    <w:p>
      <w:pPr>
        <w:pStyle w:val="Body A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rFonts w:ascii="Times New Roman" w:cs="Times New Roman" w:hAnsi="Times New Roman" w:eastAsia="Times New Roman"/>
          <w:b w:val="1"/>
          <w:bCs w:val="1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5505450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5" name="officeArt object" descr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33.5pt;margin-top:12.2pt;width:20.8pt;height:21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6" name="officeArt object" descr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22.0pt;margin-top:12.2pt;width:20.8pt;height:21.6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Body A"/>
        <w:spacing w:after="0" w:line="240" w:lineRule="auto"/>
        <w:rPr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Which assessment</w:t>
      </w:r>
      <w:r>
        <w:rPr>
          <w:i w:val="1"/>
          <w:iCs w:val="1"/>
          <w:rtl w:val="0"/>
          <w:lang w:val="en-US"/>
        </w:rPr>
        <w:t>?    Preliminary: for city review               Final: May 1</w:t>
      </w:r>
      <w:r>
        <w:rPr>
          <w:i w:val="1"/>
          <w:iCs w:val="1"/>
          <w:vertAlign w:val="superscript"/>
          <w:rtl w:val="0"/>
          <w:lang w:val="en-US"/>
        </w:rPr>
        <w:t>st</w:t>
      </w:r>
      <w:r>
        <w:rPr>
          <w:i w:val="1"/>
          <w:iCs w:val="1"/>
          <w:rtl w:val="0"/>
          <w:lang w:val="en-US"/>
        </w:rPr>
        <w:t xml:space="preserve"> recommendation to LMC </w:t>
      </w:r>
    </w:p>
    <w:p>
      <w:pPr>
        <w:pStyle w:val="Body A"/>
        <w:spacing w:after="0" w:line="240" w:lineRule="auto"/>
        <w:rPr>
          <w:b w:val="1"/>
          <w:bCs w:val="1"/>
          <w:i w:val="1"/>
          <w:iCs w:val="1"/>
        </w:rPr>
      </w:pPr>
    </w:p>
    <w:p>
      <w:pPr>
        <w:pStyle w:val="Body A"/>
        <w:spacing w:after="0" w:line="240" w:lineRule="auto"/>
        <w:rPr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>Assessor and date</w:t>
      </w:r>
      <w:r>
        <w:rPr>
          <w:i w:val="1"/>
          <w:iCs w:val="1"/>
          <w:rtl w:val="0"/>
          <w:lang w:val="en-US"/>
        </w:rPr>
        <w:t xml:space="preserve">:    </w:t>
        <w:tab/>
        <w:t>Philipp Muessig, 3/12/20</w:t>
      </w:r>
      <w:r>
        <w:rPr>
          <w:rFonts w:ascii="Times New Roman" w:cs="Times New Roman" w:hAnsi="Times New Roman" w:eastAsia="Times New Roman"/>
          <w:i w:val="1"/>
          <w:iCs w:val="1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1969135</wp:posOffset>
                </wp:positionH>
                <wp:positionV relativeFrom="line">
                  <wp:posOffset>231775</wp:posOffset>
                </wp:positionV>
                <wp:extent cx="390525" cy="337627"/>
                <wp:effectExtent l="0" t="0" r="0" b="0"/>
                <wp:wrapNone/>
                <wp:docPr id="1073741827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376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11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155.1pt;margin-top:18.2pt;width:30.8pt;height:26.6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11</w:t>
                      </w:r>
                    </w:p>
                  </w:txbxContent>
                </v:textbox>
                <w10:wrap type="none" side="bothSides" anchorx="page"/>
              </v:shape>
            </w:pict>
          </mc:Fallback>
        </mc:AlternateContent>
      </w:r>
      <w:r>
        <w:rPr>
          <w:i w:val="1"/>
          <w:iCs w:val="1"/>
        </w:rPr>
        <w:tab/>
      </w:r>
    </w:p>
    <w:p>
      <w:pPr>
        <w:pStyle w:val="Body A"/>
        <w:spacing w:after="0" w:line="240" w:lineRule="auto"/>
        <w:rPr>
          <w:b w:val="1"/>
          <w:bCs w:val="1"/>
          <w:i w:val="1"/>
          <w:iCs w:val="1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6229847</wp:posOffset>
                </wp:positionH>
                <wp:positionV relativeFrom="line">
                  <wp:posOffset>59911</wp:posOffset>
                </wp:positionV>
                <wp:extent cx="477079" cy="351155"/>
                <wp:effectExtent l="0" t="0" r="0" b="0"/>
                <wp:wrapNone/>
                <wp:docPr id="1073741828" name="officeArt object" descr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079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490.5pt;margin-top:4.7pt;width:37.6pt;height:27.6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NO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ascii="Times New Roman" w:cs="Times New Roman" w:hAnsi="Times New Roman" w:eastAsia="Times New Roman"/>
          <w:b w:val="1"/>
          <w:bCs w:val="1"/>
          <w:i w:val="1"/>
          <w:iCs w:val="1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3616325</wp:posOffset>
                </wp:positionH>
                <wp:positionV relativeFrom="line">
                  <wp:posOffset>63500</wp:posOffset>
                </wp:positionV>
                <wp:extent cx="466725" cy="274955"/>
                <wp:effectExtent l="0" t="0" r="0" b="0"/>
                <wp:wrapNone/>
                <wp:docPr id="1073741829" name="officeArt object" descr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284.8pt;margin-top:5.0pt;width:36.8pt;height:21.6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NO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b w:val="1"/>
          <w:bCs w:val="1"/>
          <w:i w:val="1"/>
          <w:iCs w:val="1"/>
          <w:rtl w:val="0"/>
          <w:lang w:val="en-US"/>
        </w:rPr>
        <w:t xml:space="preserve">    </w:t>
      </w:r>
    </w:p>
    <w:p>
      <w:pPr>
        <w:pStyle w:val="Body A"/>
        <w:spacing w:after="0" w:line="240" w:lineRule="auto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Total BPs done out of 12:                     All required* BPs done?  </w:t>
        <w:tab/>
        <w:t xml:space="preserve">                 BP distribution requirement* met?</w:t>
      </w:r>
    </w:p>
    <w:p>
      <w:pPr>
        <w:pStyle w:val="Body A"/>
        <w:spacing w:after="0" w:line="240" w:lineRule="auto"/>
        <w:rPr>
          <w:b w:val="1"/>
          <w:bCs w:val="1"/>
          <w:i w:val="1"/>
          <w:iCs w:val="1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2823845</wp:posOffset>
                </wp:positionH>
                <wp:positionV relativeFrom="line">
                  <wp:posOffset>124460</wp:posOffset>
                </wp:positionV>
                <wp:extent cx="264160" cy="274955"/>
                <wp:effectExtent l="0" t="0" r="0" b="0"/>
                <wp:wrapNone/>
                <wp:docPr id="1073741830" name="officeArt object" descr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1" style="visibility:visible;position:absolute;margin-left:222.4pt;margin-top:9.8pt;width:20.8pt;height:21.6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Body A"/>
        <w:spacing w:after="0" w:line="240" w:lineRule="auto"/>
        <w:rPr>
          <w:b w:val="1"/>
          <w:bCs w:val="1"/>
          <w:i w:val="1"/>
          <w:iCs w:val="1"/>
        </w:rPr>
      </w:pPr>
      <w:r>
        <w:rPr>
          <w:b w:val="1"/>
          <w:bCs w:val="1"/>
          <w:i w:val="1"/>
          <w:iCs w:val="1"/>
          <w:rtl w:val="0"/>
          <w:lang w:val="en-US"/>
        </w:rPr>
        <w:t xml:space="preserve">Recommend new June recognition at:  </w:t>
      </w:r>
      <w:r>
        <w:rPr>
          <w:b w:val="1"/>
          <w:bCs w:val="1"/>
          <w:i w:val="1"/>
          <w:iCs w:val="1"/>
          <w:u w:val="single"/>
          <w:rtl w:val="0"/>
          <w:lang w:val="en-US"/>
        </w:rPr>
        <w:t>Step 3</w:t>
      </w:r>
      <w:r>
        <w:rPr>
          <w:b w:val="1"/>
          <w:bCs w:val="1"/>
          <w:i w:val="1"/>
          <w:iCs w:val="1"/>
          <w:rtl w:val="0"/>
          <w:lang w:val="en-US"/>
        </w:rPr>
        <w:t xml:space="preserve">             </w:t>
      </w:r>
    </w:p>
    <w:p>
      <w:pPr>
        <w:pStyle w:val="Body A"/>
        <w:spacing w:after="0" w:line="240" w:lineRule="auto"/>
      </w:pPr>
    </w:p>
    <w:p>
      <w:pPr>
        <w:pStyle w:val="Body A"/>
        <w:spacing w:after="0" w:line="240" w:lineRule="auto"/>
      </w:pPr>
      <w:r>
        <w:rPr>
          <w:u w:val="single"/>
          <w:rtl w:val="0"/>
          <w:lang w:val="en-US"/>
        </w:rPr>
        <w:t>Recognition at a Step 3 level involves, at a minimum</w:t>
      </w:r>
      <w:r>
        <w:rPr>
          <w:rtl w:val="0"/>
          <w:lang w:val="en-US"/>
        </w:rPr>
        <w:t>: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Implementing 12 best practices, including:</w:t>
      </w:r>
    </w:p>
    <w:p>
      <w:pPr>
        <w:pStyle w:val="List Paragraph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7 specific BPs:  #1, #6, #15, #16, #24, #25, #29</w:t>
      </w:r>
    </w:p>
    <w:p>
      <w:pPr>
        <w:pStyle w:val="List Paragraph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2 Building BPs, 2 Land Use BPs, 1 Transportation BP, 3 Env. Mgt. BPs, 3 Comm./Econ. BPs</w:t>
      </w:r>
    </w:p>
    <w:p>
      <w:pPr>
        <w:pStyle w:val="List Paragraph"/>
        <w:numPr>
          <w:ilvl w:val="0"/>
          <w:numId w:val="2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Completing 18 actions, including:</w:t>
      </w:r>
    </w:p>
    <w:p>
      <w:pPr>
        <w:pStyle w:val="List Paragraph"/>
        <w:numPr>
          <w:ilvl w:val="1"/>
          <w:numId w:val="2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rtl w:val="0"/>
          <w:lang w:val="en-US"/>
        </w:rPr>
        <w:t>7 specific actions:   #1.1 &amp; #1.2;  #6.1 &amp; #6.2; #15.1;  #24.1; #29.1</w:t>
      </w:r>
    </w:p>
    <w:p>
      <w:pPr>
        <w:pStyle w:val="Body A"/>
        <w:spacing w:after="0" w:line="240" w:lineRule="auto"/>
        <w:jc w:val="right"/>
      </w:pPr>
    </w:p>
    <w:p>
      <w:pPr>
        <w:pStyle w:val="Body A"/>
        <w:spacing w:after="0" w:line="240" w:lineRule="auto"/>
        <w:jc w:val="right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* required means necessary for Step 3 recognition</w:t>
      </w:r>
    </w:p>
    <w:p>
      <w:pPr>
        <w:pStyle w:val="Body A"/>
        <w:spacing w:after="0" w:line="240" w:lineRule="auto"/>
      </w:pPr>
    </w:p>
    <w:tbl>
      <w:tblPr>
        <w:tblW w:w="1099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168"/>
        <w:gridCol w:w="810"/>
        <w:gridCol w:w="7020"/>
      </w:tblGrid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Best practices (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required in bold</w:t>
            </w:r>
            <w:r>
              <w:rPr>
                <w:shd w:val="nil" w:color="auto" w:fill="auto"/>
                <w:rtl w:val="0"/>
                <w:lang w:val="en-US"/>
              </w:rPr>
              <w:t>)          BP implemented?      Action summary by # and star level achieved</w:t>
            </w:r>
          </w:p>
          <w:p>
            <w:pPr>
              <w:pStyle w:val="Body A"/>
              <w:tabs>
                <w:tab w:val="left" w:pos="3015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Action rules (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req. actions in</w:t>
            </w: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bold</w:t>
            </w:r>
            <w:r>
              <w:rPr>
                <w:shd w:val="nil" w:color="auto" w:fill="auto"/>
                <w:rtl w:val="0"/>
                <w:lang w:val="en-US"/>
              </w:rPr>
              <w:t>)</w:t>
              <w:tab/>
              <w:t xml:space="preserve">                                                                               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  BUILDINGS: distribution requirement is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2 BPs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;          are 2 done?</w:t>
            </w:r>
          </w:p>
        </w:tc>
      </w:tr>
      <w:tr>
        <w:tblPrEx>
          <w:shd w:val="clear" w:color="auto" w:fill="ced7e7"/>
        </w:tblPrEx>
        <w:trPr>
          <w:trHeight w:val="70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1. Public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Actions 1 &amp; 2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2. Private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2.6  COMPLETE @ 2 STARS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Business Energy Retrofit grants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3. New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4. Lighting/Signals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2 actions; one from 5-8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5. Reuse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5.3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Study was completed to repurpose the Community Center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LAND USE: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2 BPs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required;                                    are 2 done?</w:t>
            </w:r>
          </w:p>
        </w:tc>
      </w:tr>
      <w:tr>
        <w:tblPrEx>
          <w:shd w:val="clear" w:color="auto" w:fill="ced7e7"/>
        </w:tblPrEx>
        <w:trPr>
          <w:trHeight w:val="80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6. Comp Plan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Actions 1 &amp; 2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6.1   COMPLETE @ 1 STAR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hd w:val="nil" w:color="auto" w:fill="auto"/>
                <w:rtl w:val="0"/>
                <w:lang w:val="en-US"/>
              </w:rPr>
              <w:t>1997; 5 updates; latest in 2012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6.2   COMPLETE @ 1 STAR </w:t>
            </w:r>
          </w:p>
        </w:tc>
      </w:tr>
      <w:tr>
        <w:tblPrEx>
          <w:shd w:val="clear" w:color="auto" w:fill="ced7e7"/>
        </w:tblPrEx>
        <w:trPr>
          <w:trHeight w:val="1801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7. Density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7.1 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17 acres of single family housing with 8-10 lots per acre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7.2 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downtown district allows apartments above existing businesses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7.3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Central Business District has no minimum lot size and zero-lot-line setbacks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1027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8. Mixed Uses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8.5 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redeveloping commercial district to allow for R &amp; C; redeveloping DT district to encourage mixed use development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8.7 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zoning code encourages space above businesses to be used as residential and office space</w:t>
            </w:r>
          </w:p>
        </w:tc>
      </w:tr>
      <w:tr>
        <w:tblPrEx>
          <w:shd w:val="clear" w:color="auto" w:fill="ced7e7"/>
        </w:tblPrEx>
        <w:trPr>
          <w:trHeight w:val="80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9. Highway Development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10. Conservation Development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b w:val="1"/>
                <w:bCs w:val="1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  TRANSPORTATION: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1 BP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required;                              is 1 done?</w:t>
            </w:r>
          </w:p>
        </w:tc>
      </w:tr>
      <w:tr>
        <w:tblPrEx>
          <w:shd w:val="clear" w:color="auto" w:fill="ced7e7"/>
        </w:tblPrEx>
        <w:trPr>
          <w:trHeight w:val="1294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11. Complete Green Streets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1; &amp; one additional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11.1 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City operates under a complete streets policy for decisions on streets and sidewalks, with the Ely Tree Board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11.3   COMPLETE @ 2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9th Ave. redeveloped with retaining walls, drains, storm water catches, and sidewalks</w:t>
            </w:r>
          </w:p>
        </w:tc>
      </w:tr>
      <w:tr>
        <w:tblPrEx>
          <w:shd w:val="clear" w:color="auto" w:fill="ced7e7"/>
        </w:tblPrEx>
        <w:trPr>
          <w:trHeight w:val="1027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12. Mobility Options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12.1 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The Incredible Ely Group &amp; Ely Health and Wellness working to develop route maps &amp; signs for walking and biking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12.2   COMPLETE @ 1 STAR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SRTS effort extended sidewalk to the youth center building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13. Fleets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14. TOD / TDM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two actions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            ENVIRONMENTAL MGT: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3 BPs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required;            are 3 done?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15. Purchasing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1; and one additional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15.2   COMPLETE @ 1 STAR</w:t>
            </w:r>
            <w:r>
              <w:rPr>
                <w:shd w:val="nil" w:color="auto" w:fill="auto"/>
                <w:rtl w:val="0"/>
                <w:lang w:val="en-US"/>
              </w:rPr>
              <w:t xml:space="preserve"> - </w:t>
            </w:r>
            <w:r>
              <w:rPr>
                <w:b w:val="1"/>
                <w:bCs w:val="1"/>
                <w:rtl w:val="0"/>
                <w:lang w:val="en-US"/>
              </w:rPr>
              <w:t>City renewables purchases include hydropower</w:t>
            </w:r>
            <w:r>
              <w:rPr>
                <w:rtl w:val="0"/>
                <w:lang w:val="en-US"/>
              </w:rPr>
              <w:t xml:space="preserve"> through Lake County Power, increasing beyond 2016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16. Trees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16.6 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Tree Board with local experts manages city trees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17. Stormwater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34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18. Parks &amp; Trails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two actions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18.1 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new playground installed in DT park; band shell reroofed; area designated as an of- road trail head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18.3   COMLPLETE @ 3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70 acres of municipal park for 3,500 residents; over 90% of residents live within 1/2 mile of park/protected green space.</w:t>
            </w:r>
          </w:p>
        </w:tc>
      </w:tr>
      <w:tr>
        <w:tblPrEx>
          <w:shd w:val="clear" w:color="auto" w:fill="ced7e7"/>
        </w:tblPrEx>
        <w:trPr>
          <w:trHeight w:val="106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19. Surface Water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if state public water:  4; and one additional action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others: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19.4   COMPLETE @ 1 STAR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20. Water / Wastewater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1 &amp; 2; and one additional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87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21. Septics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21.1   COMPLETE @ 1 STAR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 xml:space="preserve">City contacts landowners about septics outside town; failing ones addressed with a community process 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22. Solid Waste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one from 1-3; &amp; one from 4-8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22.6   COMPLETE @ 1 STAR </w:t>
            </w:r>
            <w:r>
              <w:rPr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shd w:val="nil" w:color="auto" w:fill="auto"/>
                <w:rtl w:val="0"/>
                <w:lang w:val="en-US"/>
              </w:rPr>
              <w:t>1 waste hauler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22.7   COMPLETE @ 1 STAR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23. Local Air Quality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1099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                                                       ECON &amp; COMM DEVELOP: </w:t>
            </w:r>
            <w:r>
              <w:rPr>
                <w:b w:val="1"/>
                <w:bCs w:val="1"/>
                <w:outline w:val="0"/>
                <w:color w:val="ff0000"/>
                <w:u w:color="ff0000"/>
                <w:shd w:val="nil" w:color="auto" w:fill="auto"/>
                <w:rtl w:val="0"/>
                <w:lang w:val="en-US"/>
                <w14:textFill>
                  <w14:solidFill>
                    <w14:srgbClr w14:val="FF0000"/>
                  </w14:solidFill>
                </w14:textFill>
              </w:rPr>
              <w:t>2 BPs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required;                  are 2 done?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24. Benchmarks &amp; Involvement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1; and one additional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25. Green Businesses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 any two actions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25.3   COMPLETE @ 2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City promotes outdoor-based tourism; Ely is the "Gateway to the Boundary Waters Canoe Area"</w:t>
            </w:r>
          </w:p>
        </w:tc>
      </w:tr>
      <w:tr>
        <w:tblPrEx>
          <w:shd w:val="clear" w:color="auto" w:fill="ced7e7"/>
        </w:tblPrEx>
        <w:trPr>
          <w:trHeight w:val="787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26. Renewable Energy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two actions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 xml:space="preserve">26.2   underway 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possibility of a solar energy project that would allow residents to purchase solar from one location</w:t>
            </w:r>
          </w:p>
        </w:tc>
      </w:tr>
      <w:tr>
        <w:tblPrEx>
          <w:shd w:val="clear" w:color="auto" w:fill="ced7e7"/>
        </w:tblPrEx>
        <w:trPr>
          <w:trHeight w:val="1047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27. Local Food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 any one action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YES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27.2   COMPLETE @ 1 STAR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27.3   COMPLETE @ 2 STARS -- </w:t>
            </w:r>
            <w:r>
              <w:rPr>
                <w:rFonts w:ascii="Arial" w:hAnsi="Arial"/>
                <w:outline w:val="0"/>
                <w:color w:val="516f00"/>
                <w:sz w:val="21"/>
                <w:szCs w:val="21"/>
                <w:u w:color="516f00"/>
                <w:shd w:val="nil" w:color="auto" w:fill="auto"/>
                <w:rtl w:val="0"/>
                <w:lang w:val="en-US"/>
                <w14:textFill>
                  <w14:solidFill>
                    <w14:srgbClr w14:val="516F00"/>
                  </w14:solidFill>
                </w14:textFill>
              </w:rPr>
              <w:t>City owns community garden land; school uses garden for educational programs; farmer's market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28. Business Synergies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     2, 3 or 4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shd w:val="nil" w:color="auto" w:fill="auto"/>
                <w:rtl w:val="0"/>
                <w:lang w:val="en-US"/>
              </w:rPr>
              <w:t>28.3   this action is for a business/industrial park project</w:t>
            </w:r>
          </w:p>
        </w:tc>
      </w:tr>
      <w:tr>
        <w:tblPrEx>
          <w:shd w:val="clear" w:color="auto" w:fill="ced7e7"/>
        </w:tblPrEx>
        <w:trPr>
          <w:trHeight w:val="540" w:hRule="atLeast"/>
        </w:trPr>
        <w:tc>
          <w:tcPr>
            <w:tcW w:type="dxa" w:w="31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29. Climate Adaptation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    action 1</w:t>
            </w:r>
          </w:p>
        </w:tc>
        <w:tc>
          <w:tcPr>
            <w:tcW w:type="dxa" w:w="8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8"/>
                <w:szCs w:val="28"/>
                <w:shd w:val="nil" w:color="auto" w:fill="auto"/>
                <w:rtl w:val="0"/>
                <w:lang w:val="en-US"/>
              </w:rPr>
              <w:t>NO</w:t>
            </w:r>
          </w:p>
        </w:tc>
        <w:tc>
          <w:tcPr>
            <w:tcW w:type="dxa" w:w="70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spacing w:after="0" w:line="240" w:lineRule="auto"/>
        <w:ind w:left="108" w:hanging="108"/>
      </w:pPr>
    </w:p>
    <w:p>
      <w:pPr>
        <w:pStyle w:val="Body A"/>
        <w:widowControl w:val="0"/>
        <w:spacing w:after="0" w:line="240" w:lineRule="auto"/>
      </w:pPr>
    </w:p>
    <w:p>
      <w:pPr>
        <w:pStyle w:val="Body A"/>
        <w:spacing w:after="0" w:line="240" w:lineRule="auto"/>
      </w:pPr>
    </w:p>
    <w:p>
      <w:pPr>
        <w:pStyle w:val="Body A"/>
        <w:spacing w:after="0" w:line="240" w:lineRule="auto"/>
      </w:pPr>
      <w:r>
        <w:rPr>
          <w:rFonts w:ascii="Times New Roman" w:cs="Times New Roman" w:hAnsi="Times New Roman" w:eastAsia="Times New Roman"/>
          <w:b w:val="1"/>
          <w:bCs w:val="1"/>
          <w:lang w:val="en-US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6436358</wp:posOffset>
                </wp:positionH>
                <wp:positionV relativeFrom="line">
                  <wp:posOffset>-8489950</wp:posOffset>
                </wp:positionV>
                <wp:extent cx="533400" cy="365652"/>
                <wp:effectExtent l="0" t="0" r="0" b="0"/>
                <wp:wrapNone/>
                <wp:docPr id="1073741831" name="officeArt object" descr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656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</w:pPr>
                            <w:r>
                              <w:rPr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n-US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506.8pt;margin-top:-668.5pt;width:42.0pt;height:28.8pt;z-index:25166540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</w:pPr>
                      <w:r>
                        <w:rPr>
                          <w:b w:val="1"/>
                          <w:bCs w:val="1"/>
                          <w:sz w:val="28"/>
                          <w:szCs w:val="28"/>
                          <w:rtl w:val="0"/>
                          <w:lang w:val="en-US"/>
                        </w:rPr>
                        <w:t>NO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b w:val="1"/>
          <w:bCs w:val="1"/>
          <w:rtl w:val="0"/>
          <w:lang w:val="en-US"/>
        </w:rPr>
        <w:t xml:space="preserve">ELY </w:t>
      </w:r>
      <w:r>
        <w:rPr>
          <w:b w:val="1"/>
          <w:bCs w:val="1"/>
          <w:rtl w:val="0"/>
          <w:lang w:val="en-US"/>
        </w:rPr>
        <w:t>–</w:t>
      </w:r>
      <w:r>
        <w:rPr>
          <w:rtl w:val="0"/>
          <w:lang w:val="fr-FR"/>
        </w:rPr>
        <w:t xml:space="preserve"> notable actions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Zoning code encourages</w:t>
      </w:r>
      <w:r>
        <w:rPr>
          <w:rtl w:val="0"/>
          <w:lang w:val="en-US"/>
        </w:rPr>
        <w:t xml:space="preserve"> space above businesses to be used as residential and office space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Energy retrofit grants</w:t>
      </w:r>
      <w:r>
        <w:rPr>
          <w:rtl w:val="0"/>
          <w:lang w:val="en-US"/>
        </w:rPr>
        <w:t xml:space="preserve"> for businesses</w:t>
      </w:r>
    </w:p>
    <w:p>
      <w:pPr>
        <w:pStyle w:val="List Paragraph"/>
        <w:numPr>
          <w:ilvl w:val="0"/>
          <w:numId w:val="4"/>
        </w:numPr>
        <w:bidi w:val="0"/>
        <w:spacing w:after="0" w:line="240" w:lineRule="auto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Incredible Ely &amp; Ely Health and Wellness</w:t>
      </w:r>
      <w:r>
        <w:rPr>
          <w:rtl w:val="0"/>
          <w:lang w:val="en-US"/>
        </w:rPr>
        <w:t xml:space="preserve"> work to develop walking and biking route maps &amp; signs</w:t>
      </w:r>
    </w:p>
    <w:p>
      <w:pPr>
        <w:pStyle w:val="List Paragraph"/>
        <w:numPr>
          <w:ilvl w:val="0"/>
          <w:numId w:val="4"/>
        </w:numPr>
        <w:bidi w:val="0"/>
        <w:spacing w:after="160" w:line="259" w:lineRule="auto"/>
        <w:ind w:right="0"/>
        <w:jc w:val="left"/>
        <w:rPr>
          <w:rtl w:val="0"/>
          <w:lang w:val="en-US"/>
        </w:rPr>
      </w:pPr>
      <w:r>
        <w:rPr>
          <w:b w:val="1"/>
          <w:bCs w:val="1"/>
          <w:rtl w:val="0"/>
          <w:lang w:val="en-US"/>
        </w:rPr>
        <w:t>City renewables purchases include hydropower</w:t>
      </w:r>
      <w:r>
        <w:rPr>
          <w:rtl w:val="0"/>
          <w:lang w:val="en-US"/>
        </w:rPr>
        <w:t xml:space="preserve"> through Lake County Power, increasing beyond 2016</w:t>
      </w:r>
    </w:p>
    <w:p>
      <w:pPr>
        <w:pStyle w:val="List Paragraph"/>
        <w:spacing w:after="160" w:line="259" w:lineRule="auto"/>
        <w:ind w:left="0" w:firstLine="0"/>
      </w:pPr>
    </w:p>
    <w:p>
      <w:pPr>
        <w:pStyle w:val="List Paragraph"/>
        <w:spacing w:after="160" w:line="259" w:lineRule="auto"/>
        <w:ind w:left="0" w:firstLine="0"/>
      </w:pPr>
      <w:r/>
    </w:p>
    <w:sectPr>
      <w:headerReference w:type="default" r:id="rId4"/>
      <w:footerReference w:type="default" r:id="rId5"/>
      <w:pgSz w:w="12240" w:h="15840" w:orient="portrait"/>
      <w:pgMar w:top="72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✓"/>
      <w:lvlJc w:val="left"/>
      <w:pPr>
        <w:ind w:left="7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□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□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□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