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20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20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 Category A City:  HOPKINS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 </w:t>
      </w:r>
      <w:r>
        <w:rPr>
          <w:sz w:val="24"/>
          <w:szCs w:val="24"/>
          <w:u w:val="single"/>
          <w:rtl w:val="0"/>
          <w:lang w:val="en-US"/>
        </w:rPr>
        <w:t>Step THREE</w:t>
      </w:r>
      <w:r>
        <w:rPr>
          <w:sz w:val="24"/>
          <w:szCs w:val="24"/>
          <w:rtl w:val="0"/>
          <w:lang w:val="en-US"/>
        </w:rPr>
        <w:t xml:space="preserve"> GreenStep City as of June 2013</w:t>
      </w:r>
    </w:p>
    <w:p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- joined November 2010 -</w:t>
      </w:r>
    </w:p>
    <w:p>
      <w:pPr>
        <w:pStyle w:val="Body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  <w:lang w:val="de-DE"/>
        </w:rPr>
        <w:t>:    Philipp Muessig, 4</w:t>
      </w:r>
      <w:r>
        <w:rPr>
          <w:i w:val="1"/>
          <w:iCs w:val="1"/>
          <w:rtl w:val="0"/>
          <w:lang w:val="en-US"/>
        </w:rPr>
        <w:t>/25/20</w:t>
      </w:r>
      <w:r>
        <w:rPr>
          <w:i w:val="1"/>
          <w:iCs w:val="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1066800</wp:posOffset>
                </wp:positionH>
                <wp:positionV relativeFrom="line">
                  <wp:posOffset>241935</wp:posOffset>
                </wp:positionV>
                <wp:extent cx="390525" cy="294005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4.0pt;margin-top:19.1pt;width:30.8pt;height:23.1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18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i w:val="1"/>
          <w:iCs w:val="1"/>
        </w:rPr>
        <w:tab/>
        <w:tab/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line">
                  <wp:posOffset>19685</wp:posOffset>
                </wp:positionV>
                <wp:extent cx="504825" cy="351155"/>
                <wp:effectExtent l="0" t="0" r="0" b="0"/>
                <wp:wrapNone/>
                <wp:docPr id="1073741826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59.5pt;margin-top:1.6pt;width:39.8pt;height:27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YES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line">
                  <wp:posOffset>7620</wp:posOffset>
                </wp:positionV>
                <wp:extent cx="56197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95.0pt;margin-top:0.6pt;width:44.2pt;height:27.6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YES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Total BPs done:                               All required* BPs done?  </w:t>
        <w:tab/>
        <w:t xml:space="preserve">                   BP distribution requirement* met?</w:t>
      </w:r>
    </w:p>
    <w:p>
      <w:pPr>
        <w:pStyle w:val="Body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* requirements are for Step 3 recognition</w:t>
      </w:r>
    </w:p>
    <w:p>
      <w:pPr>
        <w:pStyle w:val="Body"/>
        <w:spacing w:after="0" w:line="240" w:lineRule="auto"/>
        <w:jc w:val="right"/>
      </w:pPr>
    </w:p>
    <w:tbl>
      <w:tblPr>
        <w:tblW w:w="10998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810"/>
        <w:gridCol w:w="7020"/>
      </w:tblGrid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</w:t>
            </w:r>
            <w:r>
              <w:rPr>
                <w:shd w:val="nil" w:color="auto" w:fill="auto"/>
                <w:rtl w:val="0"/>
                <w:lang w:val="en-US"/>
              </w:rPr>
              <w:t>)            BP implemented?      Action summary by # and star level achieved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(req. in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BUILDINGS: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are 2 BPs done?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1 &amp; 2; &amp; one action from 3-7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1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COMPLETE @ 3 STARS</w:t>
            </w:r>
          </w:p>
          <w:p>
            <w:pPr>
              <w:pStyle w:val="List Paragraph"/>
              <w:numPr>
                <w:ilvl w:val="1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COMPLETE @ 3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1.3  COMPLETE @ 2 STARS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2. Private (any 2) 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1 or 2; one from 3-5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 with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4.1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4.4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4.5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4.8  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are 2 BPs done?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6.1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6.2  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7.1  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8.5  COMPLETE @ 3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8.7  COMPLETE @ 1 STAR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9. Highway Development (any 1) 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10. Conservation Develop. (1)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are 2 BPs done? 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&amp; two additional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11.1  COMPLETE @ 2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11.3  COMPLETE @ 2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11.5  COMPLETE @ 3 STARS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12.1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12.2  COMPLETE @ 2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12.3  COMPLETE @ 2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12.4  COMPLETE @ 2 STARS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13.3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13.4  COMPLETE @ 2 STARS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14.3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14.4  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ENVIRON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4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are 4 done?</w:t>
            </w:r>
          </w:p>
        </w:tc>
      </w:tr>
      <w:tr>
        <w:tblPrEx>
          <w:shd w:val="clear" w:color="auto" w:fill="ced7e7"/>
        </w:tblPrEx>
        <w:trPr>
          <w:trHeight w:val="180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15.1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14:textFill>
                  <w14:solidFill>
                    <w14:srgbClr w14:val="516F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15.3  </w:t>
            </w:r>
            <w:r>
              <w:rPr>
                <w:rFonts w:ascii="Calibri" w:hAnsi="Calibri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COMPLETE @ 1 STAR </w:t>
            </w:r>
            <w:r>
              <w:rPr>
                <w:rFonts w:ascii="Calibri" w:hAnsi="Calibri" w:hint="default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b w:val="1"/>
                <w:bCs w:val="1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City </w:t>
            </w:r>
            <w:r>
              <w:rPr>
                <w:rFonts w:ascii="Arial" w:hAnsi="Arial"/>
                <w:b w:val="1"/>
                <w:bCs w:val="1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typically buy</w:t>
            </w:r>
            <w:r>
              <w:rPr>
                <w:rFonts w:ascii="Arial" w:hAnsi="Arial"/>
                <w:b w:val="1"/>
                <w:bCs w:val="1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</w:t>
            </w:r>
            <w:r>
              <w:rPr>
                <w:rFonts w:ascii="Arial" w:hAnsi="Arial"/>
                <w:b w:val="1"/>
                <w:bCs w:val="1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 from local manufacturers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 whenever possible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15.5  UNDERWAY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looking into a specific policy for the percentage of recycled-content material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15.6  COMPLETE @ 1 STAR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16.1  COMPLETE @ 3 STARS    2012 forestry budget is $210,000 which is much greater than $4/resident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16.4  COMPLETE @ 1 STAR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17.2  COMPLETE @ 3 STARS  </w:t>
            </w:r>
            <w:r>
              <w:rPr>
                <w:outline w:val="0"/>
                <w:color w:val="4f6228"/>
                <w:u w:color="4f6228"/>
                <w:shd w:val="nil" w:color="auto" w:fill="auto"/>
                <w:rtl w:val="0"/>
                <w:lang w:val="en-US"/>
                <w14:textFill>
                  <w14:solidFill>
                    <w14:srgbClr w14:val="4F6228"/>
                  </w14:solidFill>
                </w14:textFill>
              </w:rPr>
              <w:t>In 2010, Hopkins became one of only four cities in Minnesota to be awarded a Blue Star Award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three actions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18.3  COMPLETE @ 3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18.6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18.8  COMPLETE @ 1 STAR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if </w:t>
            </w:r>
            <w:r>
              <w:rPr>
                <w:u w:val="single"/>
                <w:shd w:val="nil" w:color="auto" w:fill="auto"/>
                <w:rtl w:val="0"/>
                <w:lang w:val="en-US"/>
              </w:rPr>
              <w:t>no</w:t>
            </w:r>
            <w:r>
              <w:rPr>
                <w:shd w:val="nil" w:color="auto" w:fill="auto"/>
                <w:rtl w:val="0"/>
                <w:lang w:val="en-US"/>
              </w:rPr>
              <w:t xml:space="preserve"> state water: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91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1 or 2; &amp; one from 4-8</w:t>
            </w:r>
            <w:r>
              <w:rPr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22.1  COMPLETE @ 2 STARS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69.15% of total city operations material collected was recycled or organic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22.2  COMPLETE @ 2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22.4  COMPLETE @ 2 STARS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Recyclopedia is a waste reduction guide published every few years by twelve cities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22.5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22.6  COMPLETE @ 3 STARS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all residential (single family through tri-plexes), multi family (four-plexes and up) and commercial properties separate recyclables from refuse  organized residential garbage &amp; recycling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23.2  COMPLETE @ 1 STAR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23.5  COMPLETE @ 1 STAR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ECON &amp; COMM DVLP: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are 3 done?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24.1  COMPLETE @ 3 STARS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24.2  COMPLETE @ 2 STARS</w:t>
            </w:r>
          </w:p>
        </w:tc>
      </w:tr>
      <w:tr>
        <w:tblPrEx>
          <w:shd w:val="clear" w:color="auto" w:fill="ced7e7"/>
        </w:tblPrEx>
        <w:trPr>
          <w:trHeight w:val="149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25.5  COMPLETE @ 3 STARS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The Cargill/Excelsior Crossing brownfield redevelopment had an emphasis on creating structured parking to maximize green space and to orient traffic primarily to Excelsior Boulevard. The Excelsior Crossing project is LEED certified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25.7  COMPLETE @ 2 STARS 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Think Hopkins marketing campaign. We have also created a printable buy local guide to shopping and dining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26. Renewable Energy (any 2)   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26.6  COMPLETE @ 2 STAR S 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27. Local Food (any 1)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27.3  COMPLETE @ 2 STARS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28. Business Synergies (2,3or4)     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jc w:val="right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