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20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20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 xml:space="preserve"> Category C City: NEW GERMANY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Currently a </w:t>
      </w:r>
      <w:r>
        <w:rPr>
          <w:sz w:val="24"/>
          <w:szCs w:val="24"/>
          <w:u w:val="single"/>
          <w:rtl w:val="0"/>
          <w:lang w:val="en-US"/>
        </w:rPr>
        <w:t>Step 2</w:t>
      </w:r>
      <w:r>
        <w:rPr>
          <w:sz w:val="24"/>
          <w:szCs w:val="24"/>
          <w:rtl w:val="0"/>
          <w:lang w:val="en-US"/>
        </w:rPr>
        <w:t xml:space="preserve"> GreenStep City as of 2017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(joined June 2016)</w:t>
      </w:r>
    </w:p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line">
                  <wp:posOffset>106680</wp:posOffset>
                </wp:positionV>
                <wp:extent cx="264160" cy="274955"/>
                <wp:effectExtent l="0" t="0" r="0" b="0"/>
                <wp:wrapNone/>
                <wp:docPr id="1073741825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5.8pt;margin-top:8.4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line">
                  <wp:posOffset>101600</wp:posOffset>
                </wp:positionV>
                <wp:extent cx="264160" cy="274955"/>
                <wp:effectExtent l="0" t="0" r="0" b="0"/>
                <wp:wrapNone/>
                <wp:docPr id="1073741826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2.8pt;margin-top:8.0pt;width:20.8pt;height:2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Which assessment</w:t>
      </w:r>
      <w:r>
        <w:rPr>
          <w:i w:val="1"/>
          <w:iCs w:val="1"/>
          <w:rtl w:val="0"/>
          <w:lang w:val="en-US"/>
        </w:rPr>
        <w:t>?    Preliminary:  for city review               Final: May 1</w:t>
      </w:r>
      <w:r>
        <w:rPr>
          <w:i w:val="1"/>
          <w:iCs w:val="1"/>
          <w:vertAlign w:val="superscript"/>
          <w:rtl w:val="0"/>
        </w:rPr>
        <w:t>st</w:t>
      </w:r>
      <w:r>
        <w:rPr>
          <w:i w:val="1"/>
          <w:iCs w:val="1"/>
          <w:rtl w:val="0"/>
          <w:lang w:val="en-US"/>
        </w:rPr>
        <w:t xml:space="preserve"> recommendation to LMC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</w:rPr>
        <w:t xml:space="preserve">:   </w:t>
        <w:tab/>
        <w:t xml:space="preserve">Philipp Muessig, </w:t>
      </w:r>
      <w:r>
        <w:rPr>
          <w:i w:val="1"/>
          <w:iCs w:val="1"/>
          <w:rtl w:val="0"/>
          <w:lang w:val="en-US"/>
        </w:rPr>
        <w:t>4/25/20</w:t>
      </w:r>
      <w:r>
        <w:rPr>
          <w:i w:val="1"/>
          <w:iCs w:val="1"/>
          <w:rtl w:val="0"/>
        </w:rPr>
        <w:tab/>
        <w:t xml:space="preserve">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line">
                  <wp:posOffset>111125</wp:posOffset>
                </wp:positionV>
                <wp:extent cx="390525" cy="342900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78.0pt;margin-top:8.8pt;width:30.8pt;height:27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line">
                  <wp:posOffset>66675</wp:posOffset>
                </wp:positionV>
                <wp:extent cx="523875" cy="322580"/>
                <wp:effectExtent l="0" t="0" r="0" b="0"/>
                <wp:wrapNone/>
                <wp:docPr id="1073741828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66.5pt;margin-top:5.2pt;width:41.2pt;height:25.4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line">
                  <wp:posOffset>66675</wp:posOffset>
                </wp:positionV>
                <wp:extent cx="464185" cy="322580"/>
                <wp:effectExtent l="0" t="0" r="0" b="0"/>
                <wp:wrapNone/>
                <wp:docPr id="1073741829" name="officeArt object" descr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38.3pt;margin-top:5.2pt;width:36.5pt;height:25.4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Total BPs done:                    All required* BPs done?  </w:t>
        <w:tab/>
        <w:t xml:space="preserve">                  BP distribution requirement* met?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3364168</wp:posOffset>
                </wp:positionH>
                <wp:positionV relativeFrom="line">
                  <wp:posOffset>113029</wp:posOffset>
                </wp:positionV>
                <wp:extent cx="342900" cy="304800"/>
                <wp:effectExtent l="0" t="0" r="0" b="0"/>
                <wp:wrapNone/>
                <wp:docPr id="1073741830" name="officeArt object" descr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64.9pt;margin-top:8.9pt;width:27.0pt;height:24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Recommend June public recognition at:      Step 3  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u w:val="single"/>
          <w:rtl w:val="0"/>
          <w:lang w:val="en-US"/>
        </w:rPr>
        <w:t>Recognition at a Step 3 level involves, at a minimum</w:t>
      </w:r>
      <w:r>
        <w:rPr>
          <w:rtl w:val="0"/>
        </w:rPr>
        <w:t>: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Implementing any one action under any one of the  Transportation best practices BPs 11-14)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Adopting a policy or a practice of purchasing energy efficient products/services and recycled-content paper (BP 15.1)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Having a small working group to discuss GreenStep actions (BP 24.1)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Sign on to the county (or city if there is one) Hazard Mitigation Plan and identify who is responsible for city preparedness, emergency response, and recovery efforts (BP 29.1)</w:t>
      </w:r>
    </w:p>
    <w:p>
      <w:pPr>
        <w:pStyle w:val="Body"/>
        <w:spacing w:after="0" w:line="240" w:lineRule="auto"/>
        <w:jc w:val="righ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* note: requirements are for Step 3 recognition</w:t>
      </w:r>
    </w:p>
    <w:tbl>
      <w:tblPr>
        <w:tblW w:w="10044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98"/>
        <w:gridCol w:w="160"/>
        <w:gridCol w:w="720"/>
        <w:gridCol w:w="6066"/>
      </w:tblGrid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0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required</w:t>
            </w:r>
            <w:r>
              <w:rPr>
                <w:shd w:val="nil" w:color="auto" w:fill="auto"/>
                <w:rtl w:val="0"/>
                <w:lang w:val="en-US"/>
              </w:rPr>
              <w:t>)            BP implemented?      Action summary by # and star level achieved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rules (req. actions in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bold</w:t>
            </w:r>
            <w:r>
              <w:rPr>
                <w:shd w:val="nil" w:color="auto" w:fill="auto"/>
                <w:rtl w:val="0"/>
                <w:lang w:val="en-US"/>
              </w:rPr>
              <w:t>)</w:t>
              <w:tab/>
              <w:t xml:space="preserve">               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0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BUILDINGS: distribution requirement is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;   is 1 BP done?</w:t>
            </w:r>
          </w:p>
        </w:tc>
      </w:tr>
      <w:tr>
        <w:tblPrEx>
          <w:shd w:val="clear" w:color="auto" w:fill="ced7e7"/>
        </w:tblPrEx>
        <w:trPr>
          <w:trHeight w:val="1257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1. Public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1.2 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upgraded outside security lights on 2 city buildings to LEDs; replaced exit lights inside City Hall with LEDs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1.3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replaced two 20+ yr. old furnaces with energy efficient units furnaces; replaced one AC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2. Private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3. New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 Lighting/Signals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4.3   COMPLETE @ 3 STARS -- Excel energy upgraded the street lights to LED street lights.   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 Reuse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0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 is 1 BP done?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Comp Plan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 #1 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6.1 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city comp plan and also adoption of Co. plan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6.2 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2011 zoning map in process of being updated and referenced in comp plan also being updated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7. Density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 Mixed Uses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9. Highway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10. Conservation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100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is 1 BP done?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11. Complete Green Streets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Action #1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12. Mobility Options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 Fleets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 TOD / TDM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0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ENVIRONMENTAL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is 1 BP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15. Purchasing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Action #1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 15.1   </w:t>
            </w:r>
            <w:r>
              <w:rPr>
                <w:shd w:val="nil" w:color="auto" w:fill="auto"/>
                <w:rtl w:val="0"/>
                <w:lang w:val="en-US"/>
              </w:rPr>
              <w:t>COMPLETE @ 1 STAR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16. Trees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17. Stormwater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17.3   COMPLETE @ 1 STAR -- Carver Co. WMO agrees to install/maintain BMPs including rain gardens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 Parks &amp; Trails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19. Surface 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if state public water:  4; and one additional action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if NO state water:  any one action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20. Water / Wastewater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if providing drinking water, complete 1 &amp; 2 or 4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21. Septics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22. Solid Waste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2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23. Local Air Quality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0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ECON &amp; COMM DVLMPT: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2 BPs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are 2 BPs done?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24. Benchmarks &amp; Involvement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Action #1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25. Green Businesses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26. Renewable Energy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27. Local Food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28. Business Synergies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29. Climate Adaptation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 1</w:t>
            </w:r>
          </w:p>
        </w:tc>
        <w:tc>
          <w:tcPr>
            <w:tcW w:type="dxa" w:w="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6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jc w:val="right"/>
        <w:rPr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5884605</wp:posOffset>
                </wp:positionH>
                <wp:positionV relativeFrom="line">
                  <wp:posOffset>-8160814</wp:posOffset>
                </wp:positionV>
                <wp:extent cx="484239" cy="333068"/>
                <wp:effectExtent l="0" t="0" r="0" b="0"/>
                <wp:wrapNone/>
                <wp:docPr id="1073741831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39" cy="33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463.4pt;margin-top:-642.6pt;width:38.1pt;height:26.2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