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2020 Category B City: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RUSH CITY</w:t>
      </w:r>
    </w:p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Currently a </w:t>
      </w:r>
      <w:r>
        <w:rPr>
          <w:sz w:val="24"/>
          <w:szCs w:val="24"/>
          <w:u w:val="single"/>
          <w:rtl w:val="0"/>
          <w:lang w:val="en-US"/>
        </w:rPr>
        <w:t>Step 1</w:t>
      </w:r>
      <w:r>
        <w:rPr>
          <w:sz w:val="24"/>
          <w:szCs w:val="24"/>
          <w:rtl w:val="0"/>
          <w:lang w:val="nl-NL"/>
        </w:rPr>
        <w:t xml:space="preserve"> GreenStep City</w:t>
      </w:r>
    </w:p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- joined </w:t>
      </w:r>
      <w:r>
        <w:rPr>
          <w:sz w:val="24"/>
          <w:szCs w:val="24"/>
          <w:rtl w:val="0"/>
          <w:lang w:val="en-US"/>
        </w:rPr>
        <w:t xml:space="preserve">November </w:t>
      </w:r>
      <w:r>
        <w:rPr>
          <w:sz w:val="24"/>
          <w:szCs w:val="24"/>
          <w:rtl w:val="0"/>
        </w:rPr>
        <w:t>2019  -</w:t>
      </w:r>
    </w:p>
    <w:p>
      <w:pPr>
        <w:pStyle w:val="Body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line">
                  <wp:posOffset>152717</wp:posOffset>
                </wp:positionV>
                <wp:extent cx="264160" cy="274955"/>
                <wp:effectExtent l="0" t="0" r="0" b="0"/>
                <wp:wrapNone/>
                <wp:docPr id="1073741825" name="officeArt object" descr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B860"/>
                            </a:gs>
                            <a:gs pos="50000">
                              <a:srgbClr val="6FB242"/>
                            </a:gs>
                            <a:gs pos="100000">
                              <a:srgbClr val="61A236"/>
                            </a:gs>
                          </a:gsLst>
                          <a:lin ang="5400000" scaled="0"/>
                        </a:gradFill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>
                          <a:outerShdw sx="100000" sy="100000" kx="0" ky="0" algn="b" rotWithShape="0" blurRad="63500" dist="19050" dir="540000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5.0pt;margin-top:12.0pt;width:20.8pt;height:21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angle="0fd" focus="100%" colors="50.0% #6FB242" color="#80B860" opacity="100.0%" color2="#61A236" o:opacity2="100.0%" type="gradientUnscaled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v:shadow on="t" color="#000000" opacity="0.63" offset="0.0pt,1.5pt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6" name="officeArt object" descr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22.0pt;margin-top:12.2pt;width:20.8pt;height:21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"/>
        <w:spacing w:after="0" w:line="240" w:lineRule="auto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Which assessment</w:t>
      </w:r>
      <w:r>
        <w:rPr>
          <w:i w:val="1"/>
          <w:iCs w:val="1"/>
          <w:rtl w:val="0"/>
          <w:lang w:val="en-US"/>
        </w:rPr>
        <w:t>?    Preliminary: for city review               Final: May 1</w:t>
      </w:r>
      <w:r>
        <w:rPr>
          <w:i w:val="1"/>
          <w:iCs w:val="1"/>
          <w:vertAlign w:val="superscript"/>
          <w:rtl w:val="0"/>
        </w:rPr>
        <w:t>st</w:t>
      </w:r>
      <w:r>
        <w:rPr>
          <w:i w:val="1"/>
          <w:iCs w:val="1"/>
          <w:rtl w:val="0"/>
          <w:lang w:val="en-US"/>
        </w:rPr>
        <w:t xml:space="preserve"> recommendation to LMC </w:t>
      </w:r>
    </w:p>
    <w:p>
      <w:pPr>
        <w:pStyle w:val="Body"/>
        <w:spacing w:after="0" w:line="240" w:lineRule="auto"/>
        <w:rPr>
          <w:b w:val="1"/>
          <w:bCs w:val="1"/>
          <w:i w:val="1"/>
          <w:iCs w:val="1"/>
        </w:rPr>
      </w:pPr>
    </w:p>
    <w:p>
      <w:pPr>
        <w:pStyle w:val="Body"/>
        <w:spacing w:after="0" w:line="240" w:lineRule="auto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Assessor and date</w:t>
      </w:r>
      <w:r>
        <w:rPr>
          <w:i w:val="1"/>
          <w:iCs w:val="1"/>
          <w:rtl w:val="0"/>
        </w:rPr>
        <w:t xml:space="preserve">:    </w:t>
        <w:tab/>
        <w:t xml:space="preserve">Philipp Muessig, </w:t>
      </w:r>
      <w:r>
        <w:rPr>
          <w:i w:val="1"/>
          <w:iCs w:val="1"/>
          <w:rtl w:val="0"/>
          <w:lang w:val="en-US"/>
        </w:rPr>
        <w:t>4/27/20</w:t>
      </w:r>
      <w:r>
        <w:rPr>
          <w:i w:val="1"/>
          <w:iCs w:val="1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3514725</wp:posOffset>
                </wp:positionH>
                <wp:positionV relativeFrom="line">
                  <wp:posOffset>231775</wp:posOffset>
                </wp:positionV>
                <wp:extent cx="409575" cy="351155"/>
                <wp:effectExtent l="0" t="0" r="0" b="0"/>
                <wp:wrapNone/>
                <wp:docPr id="1073741827" name="officeArt object" descr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76.8pt;margin-top:18.2pt;width:32.2pt;height:27.6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bidi w:val="0"/>
                      </w:pPr>
                      <w:r>
                        <w:rPr>
                          <w:rtl w:val="0"/>
                        </w:rPr>
                        <w:t>N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w:rPr>
          <w:i w:val="1"/>
          <w:iCs w:val="1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1473834</wp:posOffset>
                </wp:positionH>
                <wp:positionV relativeFrom="line">
                  <wp:posOffset>225424</wp:posOffset>
                </wp:positionV>
                <wp:extent cx="390525" cy="357505"/>
                <wp:effectExtent l="0" t="0" r="0" b="0"/>
                <wp:wrapNone/>
                <wp:docPr id="1073741828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16.1pt;margin-top:17.8pt;width:30.8pt;height:28.1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bidi w:val="0"/>
                      </w:pPr>
                      <w:r>
                        <w:rPr>
                          <w:rtl w:val="0"/>
                        </w:rPr>
                        <w:t>6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w:rPr>
          <w:i w:val="1"/>
          <w:iCs w:val="1"/>
        </w:rPr>
        <w:tab/>
      </w:r>
    </w:p>
    <w:p>
      <w:pPr>
        <w:pStyle w:val="Body"/>
        <w:spacing w:after="0" w:line="240" w:lineRule="auto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line">
                  <wp:posOffset>66675</wp:posOffset>
                </wp:positionV>
                <wp:extent cx="476250" cy="351155"/>
                <wp:effectExtent l="0" t="0" r="0" b="0"/>
                <wp:wrapNone/>
                <wp:docPr id="1073741829" name="officeArt object" descr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501.0pt;margin-top:5.2pt;width:37.5pt;height:27.6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bidi w:val="0"/>
                      </w:pPr>
                      <w:r>
                        <w:rPr>
                          <w:rtl w:val="0"/>
                        </w:rPr>
                        <w:t>N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i w:val="1"/>
          <w:iCs w:val="1"/>
          <w:rtl w:val="0"/>
        </w:rPr>
        <w:t xml:space="preserve">    </w:t>
      </w:r>
    </w:p>
    <w:p>
      <w:pPr>
        <w:pStyle w:val="Body"/>
        <w:spacing w:after="0" w:line="240" w:lineRule="auto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 xml:space="preserve">Total BPs implemented:                     All required* BPs done?  </w:t>
        <w:tab/>
        <w:t xml:space="preserve">                 BP distribution requirements* met?</w:t>
      </w:r>
    </w:p>
    <w:p>
      <w:pPr>
        <w:pStyle w:val="Body"/>
        <w:spacing w:after="0" w:line="240" w:lineRule="auto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5631815</wp:posOffset>
                </wp:positionH>
                <wp:positionV relativeFrom="line">
                  <wp:posOffset>114935</wp:posOffset>
                </wp:positionV>
                <wp:extent cx="264160" cy="274955"/>
                <wp:effectExtent l="0" t="0" r="0" b="0"/>
                <wp:wrapNone/>
                <wp:docPr id="1073741830" name="officeArt object" descr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443.5pt;margin-top:9.1pt;width:20.8pt;height:21.6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i w:val="1"/>
          <w:iCs w:val="1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line">
                  <wp:posOffset>151447</wp:posOffset>
                </wp:positionV>
                <wp:extent cx="264160" cy="274955"/>
                <wp:effectExtent l="0" t="0" r="0" b="0"/>
                <wp:wrapNone/>
                <wp:docPr id="1073741831" name="officeArt object" descr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B860"/>
                            </a:gs>
                            <a:gs pos="50000">
                              <a:srgbClr val="6FB242"/>
                            </a:gs>
                            <a:gs pos="100000">
                              <a:srgbClr val="61A236"/>
                            </a:gs>
                          </a:gsLst>
                          <a:lin ang="5400000" scaled="0"/>
                        </a:gradFill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>
                          <a:outerShdw sx="100000" sy="100000" kx="0" ky="0" algn="b" rotWithShape="0" blurRad="63500" dist="19050" dir="540000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52.5pt;margin-top:11.9pt;width:20.8pt;height:21.6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angle="0fd" focus="100%" colors="50.0% #6FB242" color="#80B860" opacity="100.0%" color2="#61A236" o:opacity2="100.0%" type="gradientUnscaled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v:shadow on="t" color="#000000" opacity="0.63" offset="0.0pt,1.5pt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i w:val="1"/>
          <w:iCs w:val="1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line">
                  <wp:posOffset>132397</wp:posOffset>
                </wp:positionV>
                <wp:extent cx="264160" cy="274955"/>
                <wp:effectExtent l="0" t="0" r="0" b="0"/>
                <wp:wrapNone/>
                <wp:docPr id="1073741832" name="officeArt object" descr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B860"/>
                            </a:gs>
                            <a:gs pos="50000">
                              <a:srgbClr val="6FB242"/>
                            </a:gs>
                            <a:gs pos="100000">
                              <a:srgbClr val="61A236"/>
                            </a:gs>
                          </a:gsLst>
                          <a:lin ang="5400000" scaled="0"/>
                        </a:gradFill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>
                          <a:outerShdw sx="100000" sy="100000" kx="0" ky="0" algn="b" rotWithShape="0" blurRad="63500" dist="19050" dir="540000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27.1pt;margin-top:10.4pt;width:20.8pt;height:21.6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angle="0fd" focus="100%" colors="50.0% #6FB242" color="#80B860" opacity="100.0%" color2="#61A236" o:opacity2="100.0%" type="gradientUnscaled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v:shadow on="t" color="#000000" opacity="0.63" offset="0.0pt,1.5pt"/>
                <w10:wrap type="none" side="bothSides" anchorx="text"/>
              </v:rect>
            </w:pict>
          </mc:Fallback>
        </mc:AlternateContent>
      </w:r>
    </w:p>
    <w:p>
      <w:pPr>
        <w:pStyle w:val="Body"/>
        <w:spacing w:after="0" w:line="240" w:lineRule="auto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shd w:val="clear" w:color="auto" w:fill="00ff00"/>
          <w:rtl w:val="0"/>
          <w:lang w:val="en-US"/>
        </w:rPr>
        <w:t>Recommend June public recognition at:   Step 1</w:t>
      </w:r>
      <w:r>
        <w:rPr>
          <w:b w:val="1"/>
          <w:bCs w:val="1"/>
          <w:i w:val="1"/>
          <w:iCs w:val="1"/>
          <w:rtl w:val="0"/>
        </w:rPr>
        <w:t xml:space="preserve">                   </w:t>
      </w:r>
      <w:r>
        <w:rPr>
          <w:b w:val="1"/>
          <w:bCs w:val="1"/>
          <w:i w:val="1"/>
          <w:iCs w:val="1"/>
          <w:u w:val="single"/>
          <w:rtl w:val="0"/>
          <w:lang w:val="en-US"/>
        </w:rPr>
        <w:t>Step 2 (any 6 BPs</w:t>
      </w:r>
      <w:r>
        <w:rPr>
          <w:b w:val="1"/>
          <w:bCs w:val="1"/>
          <w:i w:val="1"/>
          <w:iCs w:val="1"/>
          <w:rtl w:val="0"/>
        </w:rPr>
        <w:t xml:space="preserve">)                        </w:t>
      </w:r>
      <w:r>
        <w:rPr>
          <w:b w:val="1"/>
          <w:bCs w:val="1"/>
          <w:i w:val="1"/>
          <w:iCs w:val="1"/>
          <w:u w:val="single"/>
          <w:rtl w:val="0"/>
          <w:lang w:val="en-US"/>
        </w:rPr>
        <w:t>Step 3</w:t>
      </w:r>
      <w:r>
        <w:rPr>
          <w:b w:val="1"/>
          <w:bCs w:val="1"/>
          <w:i w:val="1"/>
          <w:iCs w:val="1"/>
          <w:rtl w:val="0"/>
        </w:rPr>
        <w:t xml:space="preserve">  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u w:val="single"/>
          <w:rtl w:val="0"/>
          <w:lang w:val="en-US"/>
        </w:rPr>
        <w:t>Recognition at a Step 3 level involves, at a minimum</w:t>
      </w:r>
      <w:r>
        <w:rPr>
          <w:rtl w:val="0"/>
        </w:rPr>
        <w:t>:</w:t>
      </w:r>
    </w:p>
    <w:p>
      <w:pPr>
        <w:pStyle w:val="Body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Implementing 12 best practices, including:</w:t>
      </w:r>
    </w:p>
    <w:p>
      <w:pPr>
        <w:pStyle w:val="Body"/>
        <w:numPr>
          <w:ilvl w:val="1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6 specific BPs:  #1, #6, #15, #16, #24, #25, #29 </w:t>
      </w:r>
    </w:p>
    <w:p>
      <w:pPr>
        <w:pStyle w:val="Body"/>
        <w:numPr>
          <w:ilvl w:val="1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2 Building BPs, 2 Land Use BPs, 1 Transportation BP, 3 Env. Mgt. BPs, 3 Comm./Econ. BPs</w:t>
      </w:r>
    </w:p>
    <w:p>
      <w:pPr>
        <w:pStyle w:val="Body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Completing 17 actions, including:</w:t>
      </w:r>
    </w:p>
    <w:p>
      <w:pPr>
        <w:pStyle w:val="Body"/>
        <w:numPr>
          <w:ilvl w:val="1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7 specific actions:   #1.1 &amp; #1.2;  #6.1 &amp; #6.2; #15.1;  #24.1; #29.1 </w:t>
      </w:r>
    </w:p>
    <w:p>
      <w:pPr>
        <w:pStyle w:val="Body"/>
        <w:spacing w:after="0" w:line="240" w:lineRule="auto"/>
        <w:ind w:left="1440" w:firstLine="0"/>
      </w:pPr>
    </w:p>
    <w:p>
      <w:pPr>
        <w:pStyle w:val="Body"/>
        <w:spacing w:after="0" w:line="240" w:lineRule="auto"/>
        <w:jc w:val="right"/>
        <w:rPr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* Note</w:t>
      </w:r>
      <w:r>
        <w:rPr>
          <w:i w:val="1"/>
          <w:iCs w:val="1"/>
          <w:sz w:val="20"/>
          <w:szCs w:val="20"/>
          <w:rtl w:val="0"/>
          <w:lang w:val="en-US"/>
        </w:rPr>
        <w:t>: requirements are only for Step 3 recognition</w:t>
      </w:r>
    </w:p>
    <w:tbl>
      <w:tblPr>
        <w:tblW w:w="10998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168"/>
        <w:gridCol w:w="810"/>
        <w:gridCol w:w="7020"/>
      </w:tblGrid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Best practices (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required* in bold</w:t>
            </w:r>
            <w:r>
              <w:rPr>
                <w:shd w:val="nil" w:color="auto" w:fill="auto"/>
                <w:rtl w:val="0"/>
                <w:lang w:val="en-US"/>
              </w:rPr>
              <w:t>)          BP implemented?      Action summary by # and star level achieved</w:t>
            </w:r>
          </w:p>
          <w:p>
            <w:pPr>
              <w:pStyle w:val="Body"/>
              <w:tabs>
                <w:tab w:val="left" w:pos="301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Action rules (req.* actions in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bold</w:t>
            </w:r>
            <w:r>
              <w:rPr>
                <w:shd w:val="nil" w:color="auto" w:fill="auto"/>
                <w:rtl w:val="0"/>
                <w:lang w:val="en-US"/>
              </w:rPr>
              <w:t>)</w:t>
              <w:tab/>
              <w:t xml:space="preserve">                                                                               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                              BUILDINGS: distribution requirement* is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 BPs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;          are 2 done?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NO</w:t>
            </w:r>
          </w:p>
        </w:tc>
      </w:tr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1. Public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Actions 1 &amp; 2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lang w:val="en-US"/>
              </w:rPr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2. Private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3. New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4. Lighting/Signals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2 actions; one from 5-8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4.5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—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 STARS:  solar powered flashing speed limit sign at a high traffic location; planned solar-powered cross-walk sign; work on &gt; LED lighting</w:t>
            </w:r>
          </w:p>
        </w:tc>
      </w:tr>
      <w:tr>
        <w:tblPrEx>
          <w:shd w:val="clear" w:color="auto" w:fill="d0ddef"/>
        </w:tblPrEx>
        <w:trPr>
          <w:trHeight w:val="79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5. Reuse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5.3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—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 STARS:  City repurposed an old school building into City Hall offices, Chisago County Sheriff Dept Contract Office, gymnastics facility and locker rooms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                            LAND USE: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 BPs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required*;                                    are 2 done?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6. Comp Plan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Actions 1 &amp; 2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7. Density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8. Mixed Uses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9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9. Highway Development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one action</w:t>
            </w:r>
            <w:r>
              <w:rPr>
                <w:shd w:val="nil" w:color="auto" w:fill="auto"/>
              </w:rPr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10. Conservation Development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                              TRANSPORTATION: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 BP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required*;                              is 1 done?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YES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11. Complete Green Streets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1; &amp; one additional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12. Mobility Options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12.2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—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 STAR: June 2020 SRTS plan with strong committee will lead to walking and biking a safe possibility for students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13. Fleets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14. TOD / TDM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two actions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                                        ENVIRONMENTAL MGT: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3 BPs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required*;            are 3 done?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NO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15. Purchasing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1; and one additional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16. Trees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17. Stormwater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17.5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—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 STAR:  street construction projects will continue to install rain gardens where feasible</w:t>
            </w:r>
          </w:p>
        </w:tc>
      </w:tr>
      <w:tr>
        <w:tblPrEx>
          <w:shd w:val="clear" w:color="auto" w:fill="d0ddef"/>
        </w:tblPrEx>
        <w:trPr>
          <w:trHeight w:val="79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18. Parks &amp; Trails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two actions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18.2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—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 STARS:  City requires dedication of land or cash in-lieu-of for parks; sidewalks will be required in any new subdivision; over 1 mile of trails created over 10 years; City Park Board</w:t>
            </w:r>
          </w:p>
        </w:tc>
      </w:tr>
      <w:tr>
        <w:tblPrEx>
          <w:shd w:val="clear" w:color="auto" w:fill="d0ddef"/>
        </w:tblPrEx>
        <w:trPr>
          <w:trHeight w:val="105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19. Surface Water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if state public water:  4; and one additional action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others: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5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20. Water / Wastewater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1 &amp; 2; and one additional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20.3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—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 STARS:  sewer inspections are mandatory at the time of property transfer and/or street constructions: needed I&amp;I repairs (city loans available) need be completed in 6 months; half of properties inspected by 2020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21. Septics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22. Solid Waste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one from 1-3; &amp; one from 4-8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23. Local Air Quality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                                    ECON &amp; COMM DEVELOP: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3 BPs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required*;                  are 3 done?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YES</w:t>
            </w:r>
          </w:p>
        </w:tc>
      </w:tr>
      <w:tr>
        <w:tblPrEx>
          <w:shd w:val="clear" w:color="auto" w:fill="d0ddef"/>
        </w:tblPrEx>
        <w:trPr>
          <w:trHeight w:val="131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24. Benchmarks &amp; Involvement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1; and one additional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24.1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—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 STARS:  GreenStep Team meets on a monthly to bi-monthly schedule to work on issues of sustainability; regular updates to city newsletter &amp; planned council updates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24.4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—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 STARS: public info gatherings included mayor; school and Lion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Club involvement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25. Green Businesses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any two actions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26. Renewable Energy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two actions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23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27. Local Food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516f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27.3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516f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—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516f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 STARS:  City land in the industrial park has been donated for community garden use; City is the fiscal agent; donations to local food shelf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28. Business Synergies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2, 3 or 4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67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29. Climate Adaptation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action 1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(includes targeted emergency communications in appropriate languages to address  vulnerable populations)</w:t>
            </w:r>
            <w:r>
              <w:rPr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29.1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—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 STARS:  City uses the CodeRED service and social media such as Facebook to inform, alert and educate community on all safety concerns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29.7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—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 STAR:  Public Works uses software to create alarms for pumps not working, high/low water levels, and other risk factors</w:t>
            </w:r>
          </w:p>
        </w:tc>
      </w:tr>
    </w:tbl>
    <w:p>
      <w:pPr>
        <w:pStyle w:val="Body"/>
        <w:widowControl w:val="0"/>
        <w:spacing w:after="0" w:line="240" w:lineRule="auto"/>
        <w:jc w:val="right"/>
        <w:rPr>
          <w:i w:val="1"/>
          <w:iCs w:val="1"/>
          <w:sz w:val="20"/>
          <w:szCs w:val="20"/>
        </w:rPr>
      </w:pPr>
    </w:p>
    <w:p>
      <w:pPr>
        <w:pStyle w:val="Body"/>
        <w:widowControl w:val="0"/>
        <w:spacing w:after="0" w:line="240" w:lineRule="auto"/>
        <w:jc w:val="right"/>
        <w:rPr>
          <w:i w:val="1"/>
          <w:iCs w:val="1"/>
          <w:sz w:val="20"/>
          <w:szCs w:val="20"/>
        </w:rPr>
      </w:pPr>
    </w:p>
    <w:p>
      <w:pPr>
        <w:pStyle w:val="Body"/>
        <w:widowControl w:val="0"/>
        <w:spacing w:after="0" w:line="240" w:lineRule="auto"/>
        <w:jc w:val="right"/>
        <w:rPr>
          <w:i w:val="1"/>
          <w:iCs w:val="1"/>
          <w:sz w:val="20"/>
          <w:szCs w:val="20"/>
        </w:rPr>
      </w:pPr>
    </w:p>
    <w:p>
      <w:pPr>
        <w:pStyle w:val="Body"/>
        <w:widowControl w:val="0"/>
        <w:spacing w:after="0" w:line="240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RUSH CITY </w:t>
      </w:r>
      <w:r>
        <w:rPr>
          <w:sz w:val="20"/>
          <w:szCs w:val="20"/>
          <w:rtl w:val="0"/>
          <w:lang w:val="en-US"/>
        </w:rPr>
        <w:t xml:space="preserve">— </w:t>
      </w:r>
      <w:r>
        <w:rPr>
          <w:sz w:val="20"/>
          <w:szCs w:val="20"/>
          <w:rtl w:val="0"/>
          <w:lang w:val="en-US"/>
        </w:rPr>
        <w:t>notable actions</w:t>
      </w: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idewalks will be required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in new subdivision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treet 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construction projects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will continue to install rain gardens where feasible</w:t>
      </w: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Sewer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inspections are mandatory at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the time of property transfer and/or street constructions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: needed I&amp;I repairs (city loans available) need be completed in 6 months; half of properties inspected by 2020</w:t>
      </w: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Donated City industrial park land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used for community garden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abel">
    <w:name w:val="Label"/>
    <w:next w:val="Labe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