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after="0" w:line="240" w:lineRule="auto"/>
        <w:jc w:val="center"/>
        <w:rPr>
          <w:b w:val="1"/>
          <w:bCs w:val="1"/>
          <w:sz w:val="28"/>
          <w:szCs w:val="28"/>
          <w:u w:val="single"/>
        </w:rPr>
      </w:pPr>
      <w:r>
        <w:rPr>
          <w:b w:val="1"/>
          <w:bCs w:val="1"/>
          <w:sz w:val="28"/>
          <w:szCs w:val="28"/>
          <w:u w:val="single"/>
          <w:rtl w:val="0"/>
          <w:lang w:val="en-US"/>
        </w:rPr>
        <w:t>2020 Category B City:  WYOMING, MN</w:t>
      </w:r>
    </w:p>
    <w:p>
      <w:pPr>
        <w:pStyle w:val="Body A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Currently a </w:t>
      </w:r>
      <w:r>
        <w:rPr>
          <w:sz w:val="24"/>
          <w:szCs w:val="24"/>
          <w:u w:val="single"/>
          <w:rtl w:val="0"/>
          <w:lang w:val="en-US"/>
        </w:rPr>
        <w:t xml:space="preserve">Step 2 </w:t>
      </w:r>
      <w:r>
        <w:rPr>
          <w:sz w:val="24"/>
          <w:szCs w:val="24"/>
          <w:rtl w:val="0"/>
          <w:lang w:val="en-US"/>
        </w:rPr>
        <w:t>GreenStep City as of June 2019</w:t>
      </w:r>
    </w:p>
    <w:p>
      <w:pPr>
        <w:pStyle w:val="Body A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- joined October 2017 -</w:t>
      </w:r>
    </w:p>
    <w:p>
      <w:pPr>
        <w:pStyle w:val="Body A"/>
        <w:spacing w:after="0" w:line="240" w:lineRule="auto"/>
        <w:jc w:val="center"/>
        <w:rPr>
          <w:b w:val="1"/>
          <w:bCs w:val="1"/>
          <w:sz w:val="28"/>
          <w:szCs w:val="28"/>
        </w:rPr>
      </w:pPr>
      <w:r>
        <w:rPr>
          <w:rFonts w:ascii="Times New Roman" w:cs="Times New Roman" w:hAnsi="Times New Roman" w:eastAsia="Times New Roman"/>
          <w:b w:val="1"/>
          <w:bCs w:val="1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line">
                  <wp:posOffset>154305</wp:posOffset>
                </wp:positionV>
                <wp:extent cx="264160" cy="274955"/>
                <wp:effectExtent l="0" t="0" r="0" b="0"/>
                <wp:wrapNone/>
                <wp:docPr id="1073741825" name="officeArt object" descr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435.0pt;margin-top:12.2pt;width:20.8pt;height:21.6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line">
                  <wp:posOffset>154305</wp:posOffset>
                </wp:positionV>
                <wp:extent cx="264160" cy="274955"/>
                <wp:effectExtent l="0" t="0" r="0" b="0"/>
                <wp:wrapNone/>
                <wp:docPr id="1073741826" name="officeArt object" descr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222.0pt;margin-top:12.2pt;width:20.8pt;height:21.6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Body A"/>
        <w:spacing w:after="0" w:line="240" w:lineRule="auto"/>
        <w:rPr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>Which assessment</w:t>
      </w:r>
      <w:r>
        <w:rPr>
          <w:i w:val="1"/>
          <w:iCs w:val="1"/>
          <w:rtl w:val="0"/>
          <w:lang w:val="en-US"/>
        </w:rPr>
        <w:t>?    Preliminary: for city review               Final: May 1</w:t>
      </w:r>
      <w:r>
        <w:rPr>
          <w:i w:val="1"/>
          <w:iCs w:val="1"/>
          <w:vertAlign w:val="superscript"/>
          <w:rtl w:val="0"/>
          <w:lang w:val="en-US"/>
        </w:rPr>
        <w:t>st</w:t>
      </w:r>
      <w:r>
        <w:rPr>
          <w:i w:val="1"/>
          <w:iCs w:val="1"/>
          <w:rtl w:val="0"/>
          <w:lang w:val="en-US"/>
        </w:rPr>
        <w:t xml:space="preserve"> recommendation to LMC </w:t>
      </w:r>
    </w:p>
    <w:p>
      <w:pPr>
        <w:pStyle w:val="Body A"/>
        <w:spacing w:after="0" w:line="240" w:lineRule="auto"/>
        <w:rPr>
          <w:b w:val="1"/>
          <w:bCs w:val="1"/>
          <w:i w:val="1"/>
          <w:iCs w:val="1"/>
        </w:rPr>
      </w:pPr>
    </w:p>
    <w:p>
      <w:pPr>
        <w:pStyle w:val="Body A"/>
        <w:spacing w:after="0" w:line="240" w:lineRule="auto"/>
        <w:rPr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>Assessor and date</w:t>
      </w:r>
      <w:r>
        <w:rPr>
          <w:i w:val="1"/>
          <w:iCs w:val="1"/>
          <w:rtl w:val="0"/>
          <w:lang w:val="en-US"/>
        </w:rPr>
        <w:t xml:space="preserve">:    </w:t>
        <w:tab/>
        <w:t xml:space="preserve">Philipp Muessig, </w:t>
      </w:r>
      <w:r>
        <w:rPr>
          <w:i w:val="1"/>
          <w:iCs w:val="1"/>
          <w:rtl w:val="0"/>
          <w:lang w:val="en-US"/>
        </w:rPr>
        <w:t>4/27</w:t>
      </w:r>
      <w:r>
        <w:rPr>
          <w:i w:val="1"/>
          <w:iCs w:val="1"/>
          <w:rtl w:val="0"/>
          <w:lang w:val="en-US"/>
        </w:rPr>
        <w:t>/20</w:t>
      </w:r>
      <w:r>
        <w:rPr>
          <w:rFonts w:ascii="Times New Roman" w:cs="Times New Roman" w:hAnsi="Times New Roman" w:eastAsia="Times New Roman"/>
          <w:i w:val="1"/>
          <w:iCs w:val="1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3971925</wp:posOffset>
                </wp:positionH>
                <wp:positionV relativeFrom="line">
                  <wp:posOffset>228600</wp:posOffset>
                </wp:positionV>
                <wp:extent cx="485775" cy="357505"/>
                <wp:effectExtent l="0" t="0" r="0" b="0"/>
                <wp:wrapNone/>
                <wp:docPr id="1073741827" name="officeArt object" descr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312.8pt;margin-top:18.0pt;width:38.2pt;height:28.1pt;z-index:25166233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  <w:lang w:val="en-US"/>
                        </w:rPr>
                        <w:t>NO</w:t>
                      </w:r>
                    </w:p>
                  </w:txbxContent>
                </v:textbox>
                <w10:wrap type="none" side="bothSides" anchorx="page"/>
              </v:shape>
            </w:pict>
          </mc:Fallback>
        </mc:AlternateContent>
      </w:r>
      <w:r>
        <w:rPr>
          <w:i w:val="1"/>
          <w:iCs w:val="1"/>
        </w:rPr>
        <w:tab/>
      </w:r>
    </w:p>
    <w:p>
      <w:pPr>
        <w:pStyle w:val="Body A"/>
        <w:spacing w:after="0" w:line="240" w:lineRule="auto"/>
        <w:rPr>
          <w:b w:val="1"/>
          <w:bCs w:val="1"/>
          <w:i w:val="1"/>
          <w:iCs w:val="1"/>
        </w:rPr>
      </w:pPr>
      <w:r>
        <w:rPr>
          <w:rFonts w:ascii="Times New Roman" w:cs="Times New Roman" w:hAnsi="Times New Roman" w:eastAsia="Times New Roman"/>
          <w:b w:val="1"/>
          <w:bCs w:val="1"/>
          <w:i w:val="1"/>
          <w:iCs w:val="1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line">
                  <wp:posOffset>63500</wp:posOffset>
                </wp:positionV>
                <wp:extent cx="390525" cy="304800"/>
                <wp:effectExtent l="0" t="0" r="0" b="0"/>
                <wp:wrapNone/>
                <wp:docPr id="1073741828" name="officeArt object" descr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119.2pt;margin-top:5.0pt;width:30.8pt;height:24.0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  <w:lang w:val="en-US"/>
                        </w:rPr>
                        <w:t>8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Fonts w:ascii="Times New Roman" w:cs="Times New Roman" w:hAnsi="Times New Roman" w:eastAsia="Times New Roman"/>
          <w:b w:val="1"/>
          <w:bCs w:val="1"/>
          <w:i w:val="1"/>
          <w:iCs w:val="1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6362700</wp:posOffset>
                </wp:positionH>
                <wp:positionV relativeFrom="line">
                  <wp:posOffset>66675</wp:posOffset>
                </wp:positionV>
                <wp:extent cx="476250" cy="351155"/>
                <wp:effectExtent l="0" t="0" r="0" b="0"/>
                <wp:wrapNone/>
                <wp:docPr id="1073741829" name="officeArt object" descr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501.0pt;margin-top:5.2pt;width:37.5pt;height:27.6pt;z-index:25166336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  <w:lang w:val="en-US"/>
                        </w:rPr>
                        <w:t>NO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b w:val="1"/>
          <w:bCs w:val="1"/>
          <w:i w:val="1"/>
          <w:iCs w:val="1"/>
          <w:rtl w:val="0"/>
          <w:lang w:val="en-US"/>
        </w:rPr>
        <w:t xml:space="preserve">    </w:t>
      </w:r>
    </w:p>
    <w:p>
      <w:pPr>
        <w:pStyle w:val="Body A"/>
        <w:spacing w:after="0" w:line="240" w:lineRule="auto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 xml:space="preserve">Total BPs implemented:                     All required* BPs done?  </w:t>
        <w:tab/>
        <w:t xml:space="preserve">                 BP distribution requirements* met?</w:t>
      </w:r>
    </w:p>
    <w:p>
      <w:pPr>
        <w:pStyle w:val="Body A"/>
        <w:spacing w:after="0" w:line="240" w:lineRule="auto"/>
        <w:rPr>
          <w:b w:val="1"/>
          <w:bCs w:val="1"/>
          <w:i w:val="1"/>
          <w:iCs w:val="1"/>
        </w:rPr>
      </w:pPr>
      <w:r>
        <w:rPr>
          <w:rFonts w:ascii="Times New Roman" w:cs="Times New Roman" w:hAnsi="Times New Roman" w:eastAsia="Times New Roman"/>
          <w:b w:val="1"/>
          <w:bCs w:val="1"/>
          <w:i w:val="1"/>
          <w:iCs w:val="1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2969260</wp:posOffset>
                </wp:positionH>
                <wp:positionV relativeFrom="line">
                  <wp:posOffset>133985</wp:posOffset>
                </wp:positionV>
                <wp:extent cx="264160" cy="274955"/>
                <wp:effectExtent l="0" t="0" r="0" b="0"/>
                <wp:wrapNone/>
                <wp:docPr id="1073741830" name="officeArt object" descr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233.8pt;margin-top:10.6pt;width:20.8pt;height:21.6pt;z-index:25166438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Body A"/>
        <w:spacing w:after="0" w:line="240" w:lineRule="auto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 xml:space="preserve">Recommend June public recognition at:     </w:t>
      </w:r>
      <w:r>
        <w:rPr>
          <w:b w:val="1"/>
          <w:bCs w:val="1"/>
          <w:i w:val="1"/>
          <w:iCs w:val="1"/>
          <w:u w:val="single"/>
          <w:rtl w:val="0"/>
          <w:lang w:val="en-US"/>
        </w:rPr>
        <w:t>Step 3</w:t>
      </w:r>
      <w:r>
        <w:rPr>
          <w:b w:val="1"/>
          <w:bCs w:val="1"/>
          <w:i w:val="1"/>
          <w:iCs w:val="1"/>
          <w:rtl w:val="0"/>
          <w:lang w:val="en-US"/>
        </w:rPr>
        <w:t xml:space="preserve">  </w:t>
      </w:r>
    </w:p>
    <w:p>
      <w:pPr>
        <w:pStyle w:val="Body A"/>
        <w:spacing w:after="0" w:line="240" w:lineRule="auto"/>
      </w:pPr>
    </w:p>
    <w:p>
      <w:pPr>
        <w:pStyle w:val="Body A"/>
        <w:spacing w:after="0" w:line="240" w:lineRule="auto"/>
      </w:pPr>
      <w:r>
        <w:rPr>
          <w:u w:val="single"/>
          <w:rtl w:val="0"/>
          <w:lang w:val="en-US"/>
        </w:rPr>
        <w:t>Recognition at a Step 3 level involves completing these additional actions/best practices:</w:t>
      </w:r>
    </w:p>
    <w:p>
      <w:pPr>
        <w:pStyle w:val="Body A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action 1.1 (B3 city building energy/water tracking)</w:t>
      </w:r>
    </w:p>
    <w:p>
      <w:pPr>
        <w:pStyle w:val="Body A"/>
        <w:bidi w:val="0"/>
        <w:spacing w:after="0" w:line="240" w:lineRule="auto"/>
        <w:ind w:left="0" w:right="0" w:firstLine="0"/>
        <w:jc w:val="left"/>
        <w:rPr>
          <w:rtl w:val="0"/>
        </w:rPr>
      </w:pPr>
    </w:p>
    <w:p>
      <w:pPr>
        <w:pStyle w:val="Body A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BP #15 (environmental purchasing: 2 actions)</w:t>
      </w:r>
    </w:p>
    <w:p>
      <w:pPr>
        <w:pStyle w:val="Body A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BP #16 (urban forestry: 1 action)</w:t>
      </w:r>
    </w:p>
    <w:p>
      <w:pPr>
        <w:pStyle w:val="Body A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BP #24 (engagement: 2 actions)</w:t>
      </w:r>
    </w:p>
    <w:p>
      <w:pPr>
        <w:pStyle w:val="Body A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BP #25 (green business: 2 actions)</w:t>
      </w:r>
    </w:p>
    <w:p>
      <w:pPr>
        <w:pStyle w:val="Body A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action 29.1 (emergency communications/shelter)</w:t>
      </w:r>
    </w:p>
    <w:p>
      <w:pPr>
        <w:pStyle w:val="Body A"/>
        <w:spacing w:after="0" w:line="240" w:lineRule="auto"/>
        <w:jc w:val="right"/>
        <w:rPr>
          <w:i w:val="1"/>
          <w:iCs w:val="1"/>
          <w:sz w:val="20"/>
          <w:szCs w:val="20"/>
        </w:rPr>
      </w:pPr>
      <w:r>
        <w:rPr>
          <w:b w:val="1"/>
          <w:bCs w:val="1"/>
          <w:i w:val="1"/>
          <w:iCs w:val="1"/>
          <w:sz w:val="20"/>
          <w:szCs w:val="20"/>
          <w:rtl w:val="0"/>
          <w:lang w:val="en-US"/>
        </w:rPr>
        <w:t>* Note</w:t>
      </w:r>
      <w:r>
        <w:rPr>
          <w:i w:val="1"/>
          <w:iCs w:val="1"/>
          <w:sz w:val="20"/>
          <w:szCs w:val="20"/>
          <w:rtl w:val="0"/>
          <w:lang w:val="en-US"/>
        </w:rPr>
        <w:t>: requirements are only for Step 3 recognition</w:t>
      </w:r>
    </w:p>
    <w:tbl>
      <w:tblPr>
        <w:tblW w:w="10998" w:type="dxa"/>
        <w:jc w:val="righ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168"/>
        <w:gridCol w:w="810"/>
        <w:gridCol w:w="7020"/>
      </w:tblGrid>
      <w:tr>
        <w:tblPrEx>
          <w:shd w:val="clear" w:color="auto" w:fill="d0ddef"/>
        </w:tblPrEx>
        <w:trPr>
          <w:trHeight w:val="540" w:hRule="atLeast"/>
        </w:trPr>
        <w:tc>
          <w:tcPr>
            <w:tcW w:type="dxa" w:w="1099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Best practices (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required* in bold</w:t>
            </w:r>
            <w:r>
              <w:rPr>
                <w:shd w:val="nil" w:color="auto" w:fill="auto"/>
                <w:rtl w:val="0"/>
                <w:lang w:val="en-US"/>
              </w:rPr>
              <w:t>)          BP implemented?      Action summary by # and star level achieved</w:t>
            </w:r>
          </w:p>
          <w:p>
            <w:pPr>
              <w:pStyle w:val="Body A"/>
              <w:tabs>
                <w:tab w:val="left" w:pos="3015"/>
              </w:tabs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Action rules (req.* actions in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bold</w:t>
            </w:r>
            <w:r>
              <w:rPr>
                <w:shd w:val="nil" w:color="auto" w:fill="auto"/>
                <w:rtl w:val="0"/>
                <w:lang w:val="en-US"/>
              </w:rPr>
              <w:t>)</w:t>
              <w:tab/>
              <w:t xml:space="preserve">                                                                               </w:t>
            </w:r>
          </w:p>
        </w:tc>
      </w:tr>
      <w:tr>
        <w:tblPrEx>
          <w:shd w:val="clear" w:color="auto" w:fill="d0ddef"/>
        </w:tblPrEx>
        <w:trPr>
          <w:trHeight w:val="540" w:hRule="atLeast"/>
        </w:trPr>
        <w:tc>
          <w:tcPr>
            <w:tcW w:type="dxa" w:w="1099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                                                 BUILDINGS: distribution requirement* is </w:t>
            </w: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2 BPs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;          are 2 done?     NO</w:t>
            </w:r>
          </w:p>
        </w:tc>
      </w:tr>
      <w:tr>
        <w:tblPrEx>
          <w:shd w:val="clear" w:color="auto" w:fill="d0ddef"/>
        </w:tblPrEx>
        <w:trPr>
          <w:trHeight w:val="1267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1. Public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Actions 1 &amp; 2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NO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rFonts w:ascii="Arial" w:cs="Arial" w:hAnsi="Arial" w:eastAsia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14:textFill>
                  <w14:solidFill>
                    <w14:srgbClr w14:val="516F00"/>
                  </w14:solidFill>
                </w14:textFill>
              </w:rPr>
            </w:pPr>
            <w:r>
              <w:rPr>
                <w:rFonts w:ascii="Calibri" w:hAnsi="Calibri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1.2  COMPLETE @ 2 STARS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2018 lighting audit, all indoor/outdoor LEDs in 5 buildings: total cost $28,500; rebates of $6,750; annual savings of $5,000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1.6  COMPLETE @ 1 STAR 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 xml:space="preserve">2018 lighting audit, all indoor LEDs in 5 buildings; annual savings (incl. outdoor LED changes) of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clear" w:color="auto" w:fill="ffffff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$4,982</w:t>
            </w:r>
          </w:p>
        </w:tc>
      </w:tr>
      <w:tr>
        <w:tblPrEx>
          <w:shd w:val="clear" w:color="auto" w:fill="d0ddef"/>
        </w:tblPrEx>
        <w:trPr>
          <w:trHeight w:val="54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2. Private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4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3. New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any 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294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4. Lighting/Signals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2 actions; one from 5-8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4.2  COMPLETE @ 1 STAR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clear" w:color="auto" w:fill="ffffff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 xml:space="preserve">Xcel Energy owns street lights &amp; traffic signals; they use LED replacements 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Fonts w:ascii="Arial" w:cs="Arial" w:hAnsi="Arial" w:eastAsia="Arial"/>
                <w:outline w:val="0"/>
                <w:color w:val="516f00"/>
                <w:sz w:val="21"/>
                <w:szCs w:val="21"/>
                <w:u w:color="516f00"/>
                <w:shd w:val="clear" w:color="auto" w:fill="ffffff"/>
                <w:rtl w:val="0"/>
                <w14:textFill>
                  <w14:solidFill>
                    <w14:srgbClr w14:val="516F00"/>
                  </w14:solidFill>
                </w14:textFill>
              </w:rPr>
            </w:pPr>
            <w:r>
              <w:rPr>
                <w:rFonts w:ascii="Calibri" w:hAnsi="Calibri"/>
                <w:outline w:val="0"/>
                <w:color w:val="000000"/>
                <w:sz w:val="22"/>
                <w:szCs w:val="22"/>
                <w:u w:color="000000"/>
                <w:shd w:val="clear" w:color="auto" w:fill="ffffff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4.6  COMPLETE @ 3 STARS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clear" w:color="auto" w:fill="ffffff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2018 lighting audit, all outdoor LEDs in 5 buildings; annual savings (incl. indoor LED changes) of $4,982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4.8  COMPLETE @ 3 STARS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clear" w:color="auto" w:fill="ffffff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2016 &amp; 2017:  traffic signals to all LEDs</w:t>
            </w:r>
          </w:p>
        </w:tc>
      </w:tr>
      <w:tr>
        <w:tblPrEx>
          <w:shd w:val="clear" w:color="auto" w:fill="d0ddef"/>
        </w:tblPrEx>
        <w:trPr>
          <w:trHeight w:val="54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5. Reuse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40" w:hRule="atLeast"/>
        </w:trPr>
        <w:tc>
          <w:tcPr>
            <w:tcW w:type="dxa" w:w="1099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                                               LAND USE: </w:t>
            </w: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2 BPs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required*;                                    are 2 done?   YES</w:t>
            </w:r>
          </w:p>
        </w:tc>
      </w:tr>
      <w:tr>
        <w:tblPrEx>
          <w:shd w:val="clear" w:color="auto" w:fill="d0ddef"/>
        </w:tblPrEx>
        <w:trPr>
          <w:trHeight w:val="1801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6. Comp Plan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Actions 1 &amp; 2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6.1  COMPLETE @ 1 STAR </w:t>
            </w:r>
            <w:r>
              <w:rPr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clear" w:color="auto" w:fill="ffffff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2009 comp plan; 2019 update pending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6.2  COMPLETE @ 1 STAR </w:t>
            </w:r>
            <w:r>
              <w:rPr>
                <w:shd w:val="nil" w:color="auto" w:fill="auto"/>
                <w:rtl w:val="0"/>
                <w:lang w:val="en-US"/>
              </w:rPr>
              <w:t>– ‘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clear" w:color="auto" w:fill="ffffff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enforcement, amendment, and administration shall be accomplished in harmony with the comp plan</w:t>
            </w:r>
            <w:r>
              <w:rPr>
                <w:rFonts w:ascii="Arial" w:hAnsi="Arial" w:hint="default"/>
                <w:outline w:val="0"/>
                <w:color w:val="516f00"/>
                <w:sz w:val="21"/>
                <w:szCs w:val="21"/>
                <w:u w:color="516f00"/>
                <w:shd w:val="clear" w:color="auto" w:fill="ffffff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’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6.3  COMPLETE @ 1 STAR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clear" w:color="auto" w:fill="ffffff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intergovernmental cooperation on several transportation projects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6.4  COMPLETE @ 3 STARS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clear" w:color="auto" w:fill="ffffff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greenways, clustering, linked open spaces, potentially acquire conservation easements</w:t>
            </w:r>
          </w:p>
        </w:tc>
      </w:tr>
      <w:tr>
        <w:tblPrEx>
          <w:shd w:val="clear" w:color="auto" w:fill="d0ddef"/>
        </w:tblPrEx>
        <w:trPr>
          <w:trHeight w:val="54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7. Density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4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8. Mixed Uses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80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9. Highway Development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6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10. Conservation Development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10.3  </w:t>
            </w:r>
            <w:r>
              <w:rPr>
                <w:shd w:val="nil" w:color="auto" w:fill="auto"/>
                <w:rtl w:val="0"/>
                <w:lang w:val="en-US"/>
              </w:rPr>
              <w:t xml:space="preserve">COMPLETE @ 3 STARS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clear" w:color="auto" w:fill="ffffff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landscaping &amp; woodland preservation ordinance requires landscaping plans in zoning &amp; development review as well as setting minimum requirements</w:t>
            </w:r>
          </w:p>
        </w:tc>
      </w:tr>
      <w:tr>
        <w:tblPrEx>
          <w:shd w:val="clear" w:color="auto" w:fill="d0ddef"/>
        </w:tblPrEx>
        <w:trPr>
          <w:trHeight w:val="540" w:hRule="atLeast"/>
        </w:trPr>
        <w:tc>
          <w:tcPr>
            <w:tcW w:type="dxa" w:w="1099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                                                 TRANSPORTATION: </w:t>
            </w: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1 BP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required*;                              is 1 done?  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YES</w:t>
            </w:r>
          </w:p>
        </w:tc>
      </w:tr>
      <w:tr>
        <w:tblPrEx>
          <w:shd w:val="clear" w:color="auto" w:fill="d0ddef"/>
        </w:tblPrEx>
        <w:trPr>
          <w:trHeight w:val="54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11. Complete Green Streets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1; &amp; one additional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4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12. Mobility Options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12.5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—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 STARS:  City flexible workplace/telework policy</w:t>
            </w:r>
          </w:p>
        </w:tc>
      </w:tr>
      <w:tr>
        <w:tblPrEx>
          <w:shd w:val="clear" w:color="auto" w:fill="d0ddef"/>
        </w:tblPrEx>
        <w:trPr>
          <w:trHeight w:val="54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13. Fleets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4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14. TOD / TDM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two actions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40" w:hRule="atLeast"/>
        </w:trPr>
        <w:tc>
          <w:tcPr>
            <w:tcW w:type="dxa" w:w="1099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                                                           ENVIRONMENTAL MGT: </w:t>
            </w: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3 BPs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required*;            are 3 done?   YES</w:t>
            </w:r>
          </w:p>
        </w:tc>
      </w:tr>
      <w:tr>
        <w:tblPrEx>
          <w:shd w:val="clear" w:color="auto" w:fill="d0ddef"/>
        </w:tblPrEx>
        <w:trPr>
          <w:trHeight w:val="54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15. Purchasing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1; and one additional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NO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4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16. Trees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NO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87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17. Stormwater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17.2  COMPLETE @ 1 STAR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clear" w:color="auto" w:fill="ffffff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Storm Water Utility Report</w:t>
            </w:r>
            <w:r>
              <w:rPr>
                <w:rFonts w:ascii="Arial" w:hAnsi="Arial" w:hint="default"/>
                <w:outline w:val="0"/>
                <w:color w:val="516f00"/>
                <w:sz w:val="21"/>
                <w:szCs w:val="21"/>
                <w:u w:color="516f00"/>
                <w:shd w:val="clear" w:color="auto" w:fill="ffffff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 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clear" w:color="auto" w:fill="ffffff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of 2011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17.4  COMPLETE @ 3 STARS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clear" w:color="auto" w:fill="ffffff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storm water utility in 2011; user rate structure; update in 2019</w:t>
            </w:r>
          </w:p>
        </w:tc>
      </w:tr>
      <w:tr>
        <w:tblPrEx>
          <w:shd w:val="clear" w:color="auto" w:fill="d0ddef"/>
        </w:tblPrEx>
        <w:trPr>
          <w:trHeight w:val="54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18. Parks &amp; Trails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two actions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4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19. Surface Water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19.4  COMPLETE @ 1 STAR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clear" w:color="auto" w:fill="ffffff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2019 ordinance based on MN DNR Model Shoreland Management Ordinance</w:t>
            </w:r>
            <w:r>
              <w:rPr>
                <w:rFonts w:ascii="Arial" w:hAnsi="Arial" w:hint="default"/>
                <w:outline w:val="0"/>
                <w:color w:val="516f00"/>
                <w:sz w:val="21"/>
                <w:szCs w:val="21"/>
                <w:u w:color="516f00"/>
                <w:shd w:val="clear" w:color="auto" w:fill="ffffff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54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20. Water / Wastewater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1 &amp; 2; and one additional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027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21. Septics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21.3  COMPLETE @ 3 STARS </w:t>
            </w:r>
            <w:r>
              <w:rPr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clear" w:color="auto" w:fill="ffffff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City (Building/Zoning official Fred Weck) is management entity for the proper design, siting, installation, operation monitoring and maintenance of septic systems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21.4  COMPLETE @ 3 STARS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clear" w:color="auto" w:fill="ffffff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adopted SSTS standards 2011</w:t>
            </w:r>
          </w:p>
        </w:tc>
      </w:tr>
      <w:tr>
        <w:tblPrEx>
          <w:shd w:val="clear" w:color="auto" w:fill="d0ddef"/>
        </w:tblPrEx>
        <w:trPr>
          <w:trHeight w:val="54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22. Solid Waste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one from 1-3; &amp; one from 4-8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4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23. Local Air Quality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40" w:hRule="atLeast"/>
        </w:trPr>
        <w:tc>
          <w:tcPr>
            <w:tcW w:type="dxa" w:w="1099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                                                       ECON &amp; COMM DEVELOP: </w:t>
            </w: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3 BPs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required*;                  are 3 done?   NO</w:t>
            </w:r>
          </w:p>
        </w:tc>
      </w:tr>
      <w:tr>
        <w:tblPrEx>
          <w:shd w:val="clear" w:color="auto" w:fill="d0ddef"/>
        </w:tblPrEx>
        <w:trPr>
          <w:trHeight w:val="54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24. Benchmarks &amp; Involvement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1; and one additional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NO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4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25. Green Businesses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any two actions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NO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4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26. Renewable Energy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two actions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4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27. Local Food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4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28. Business Synergies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2, 3 or 4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68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29. Climate Adaptation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action 1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(includes targeted emergency communications in appropriate languages to address  vulnerable populations)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Calibri" w:hAnsi="Calibri"/>
                <w:b w:val="1"/>
                <w:bCs w:val="1"/>
                <w:sz w:val="28"/>
                <w:szCs w:val="28"/>
                <w:rtl w:val="0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29.1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—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 STARS:  municipal emergency operations plan harmonized with county plan and being updated in 2020</w:t>
            </w:r>
          </w:p>
        </w:tc>
      </w:tr>
    </w:tbl>
    <w:p>
      <w:pPr>
        <w:pStyle w:val="Body A"/>
        <w:widowControl w:val="0"/>
        <w:spacing w:after="0" w:line="240" w:lineRule="auto"/>
        <w:ind w:left="108" w:hanging="108"/>
        <w:jc w:val="right"/>
        <w:rPr>
          <w:i w:val="1"/>
          <w:iCs w:val="1"/>
          <w:sz w:val="20"/>
          <w:szCs w:val="20"/>
        </w:rPr>
      </w:pPr>
    </w:p>
    <w:p>
      <w:pPr>
        <w:pStyle w:val="Body A"/>
        <w:widowControl w:val="0"/>
        <w:spacing w:after="0" w:line="240" w:lineRule="auto"/>
        <w:jc w:val="right"/>
        <w:rPr>
          <w:i w:val="1"/>
          <w:iCs w:val="1"/>
          <w:sz w:val="20"/>
          <w:szCs w:val="20"/>
        </w:rPr>
      </w:pPr>
    </w:p>
    <w:p>
      <w:pPr>
        <w:pStyle w:val="Body A"/>
        <w:spacing w:after="0" w:line="240" w:lineRule="auto"/>
      </w:pPr>
    </w:p>
    <w:p>
      <w:pPr>
        <w:pStyle w:val="Body A"/>
        <w:spacing w:after="0" w:line="240" w:lineRule="auto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WYOMING </w:t>
      </w:r>
      <w:r>
        <w:rPr>
          <w:rtl w:val="0"/>
          <w:lang w:val="en-US"/>
        </w:rPr>
        <w:t xml:space="preserve">– </w:t>
      </w:r>
      <w:r>
        <w:rPr>
          <w:rtl w:val="0"/>
          <w:lang w:val="fr-FR"/>
        </w:rPr>
        <w:t>notable actions</w:t>
      </w:r>
    </w:p>
    <w:p>
      <w:pPr>
        <w:pStyle w:val="Body A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Savings of $5,000/yr.</w:t>
      </w:r>
      <w:r>
        <w:rPr>
          <w:rtl w:val="0"/>
          <w:lang w:val="en-US"/>
        </w:rPr>
        <w:t xml:space="preserve"> by installing LEDs indoors/outdoors in 5 buildings: total cost $28,500, rebates of $6,750; based upon a 2018 lighting audit</w:t>
      </w:r>
    </w:p>
    <w:p>
      <w:pPr>
        <w:pStyle w:val="Body A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2019 Comp Plan goals for greenways, clustering</w:t>
      </w:r>
      <w:r>
        <w:rPr>
          <w:rtl w:val="0"/>
          <w:lang w:val="en-US"/>
        </w:rPr>
        <w:t xml:space="preserve">, linked open spaces, acquiring conservation easements </w:t>
      </w:r>
    </w:p>
    <w:p>
      <w:pPr>
        <w:pStyle w:val="Body A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City flexible workplace/telework</w:t>
      </w:r>
      <w:r>
        <w:rPr>
          <w:rtl w:val="0"/>
          <w:lang w:val="en-US"/>
        </w:rPr>
        <w:t xml:space="preserve"> policy</w:t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✓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