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6A43A0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proofErr w:type="gramStart"/>
      <w:r w:rsidRPr="009A2EA2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 w:rsidR="005160EA">
        <w:rPr>
          <w:rFonts w:cs="Calibri"/>
          <w:b/>
          <w:bCs/>
          <w:sz w:val="28"/>
          <w:szCs w:val="28"/>
          <w:u w:val="single"/>
        </w:rPr>
        <w:t>MENDOTA HEIGHTS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5160EA">
        <w:rPr>
          <w:rFonts w:cs="Calibri"/>
          <w:sz w:val="28"/>
          <w:szCs w:val="28"/>
        </w:rPr>
        <w:t>March 2021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6A43A0">
        <w:rPr>
          <w:rFonts w:cs="Calibri"/>
          <w:i/>
          <w:iCs/>
        </w:rPr>
        <w:t>2/28/2022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5160EA" w:rsidRDefault="005160EA" w:rsidP="005160EA">
                            <w:pPr>
                              <w:pStyle w:val="Body"/>
                              <w:jc w:val="center"/>
                              <w:rPr>
                                <w:b/>
                                <w:color w:val="auto"/>
                                <w:sz w:val="32"/>
                              </w:rPr>
                            </w:pPr>
                            <w:r w:rsidRPr="005160EA">
                              <w:rPr>
                                <w:rFonts w:cs="Calibri"/>
                                <w:b/>
                                <w:color w:val="auto"/>
                                <w:sz w:val="28"/>
                                <w:szCs w:val="2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5160EA" w:rsidRDefault="005160EA" w:rsidP="005160EA">
                      <w:pPr>
                        <w:pStyle w:val="Body"/>
                        <w:jc w:val="center"/>
                        <w:rPr>
                          <w:b/>
                          <w:color w:val="auto"/>
                          <w:sz w:val="32"/>
                        </w:rPr>
                      </w:pPr>
                      <w:r w:rsidRPr="005160EA">
                        <w:rPr>
                          <w:rFonts w:cs="Calibri"/>
                          <w:b/>
                          <w:color w:val="auto"/>
                          <w:sz w:val="28"/>
                          <w:szCs w:val="2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6A43A0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5160EA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</w:t>
      </w:r>
      <w:r w:rsidRPr="006A43A0">
        <w:rPr>
          <w:rFonts w:cs="Calibri"/>
          <w:b/>
          <w:bCs/>
          <w:i/>
          <w:iCs/>
          <w:highlight w:val="yellow"/>
        </w:rPr>
        <w:t xml:space="preserve">:     </w:t>
      </w:r>
      <w:r w:rsidR="00ED5B4A" w:rsidRPr="006A43A0">
        <w:rPr>
          <w:b/>
          <w:i/>
          <w:highlight w:val="yellow"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6A43A0" w:rsidRPr="00945392" w:rsidRDefault="006A43A0" w:rsidP="006A43A0">
      <w:pPr>
        <w:rPr>
          <w:rFonts w:ascii="Calibri" w:hAnsi="Calibri" w:cs="Calibri"/>
        </w:rPr>
      </w:pPr>
      <w:r w:rsidRPr="00945392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945392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945392">
        <w:rPr>
          <w:rFonts w:ascii="Calibri" w:hAnsi="Calibri" w:cs="Calibri"/>
          <w:u w:val="single"/>
        </w:rPr>
        <w:t xml:space="preserve"> level</w:t>
      </w:r>
      <w:r w:rsidRPr="00945392">
        <w:rPr>
          <w:rFonts w:ascii="Calibri" w:hAnsi="Calibri" w:cs="Calibri"/>
        </w:rPr>
        <w:t xml:space="preserve"> involves, at a minimum:</w:t>
      </w:r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Public Buildings</w:t>
      </w:r>
      <w:r>
        <w:t xml:space="preserve">: </w:t>
      </w:r>
      <w:hyperlink r:id="rId8" w:history="1">
        <w:r w:rsidRPr="00945392">
          <w:rPr>
            <w:rStyle w:val="Hyperlink"/>
            <w:color w:val="0070C0"/>
          </w:rPr>
          <w:t>1.1</w:t>
        </w:r>
      </w:hyperlink>
      <w:r>
        <w:t xml:space="preserve"> and </w:t>
      </w:r>
      <w:hyperlink r:id="rId9" w:history="1">
        <w:r w:rsidRPr="00945392">
          <w:rPr>
            <w:rStyle w:val="Hyperlink"/>
            <w:color w:val="0070C0"/>
          </w:rPr>
          <w:t>1.2</w:t>
        </w:r>
      </w:hyperlink>
      <w:r>
        <w:rPr>
          <w:color w:val="0070C0"/>
        </w:rPr>
        <w:t xml:space="preserve"> </w:t>
      </w:r>
      <w:r w:rsidRPr="00FE391C">
        <w:rPr>
          <w:color w:val="auto"/>
        </w:rPr>
        <w:t xml:space="preserve">and any one additional action from </w:t>
      </w:r>
      <w:hyperlink r:id="rId10" w:history="1">
        <w:r w:rsidRPr="00FE391C">
          <w:rPr>
            <w:rStyle w:val="Hyperlink"/>
            <w:color w:val="0070C0"/>
          </w:rPr>
          <w:t>1.3-1.7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Comprehensive Plan</w:t>
      </w:r>
      <w:r>
        <w:t xml:space="preserve">: </w:t>
      </w:r>
      <w:hyperlink r:id="rId11" w:history="1">
        <w:r w:rsidRPr="00945392">
          <w:rPr>
            <w:rStyle w:val="Hyperlink"/>
            <w:color w:val="0070C0"/>
          </w:rPr>
          <w:t>6.1</w:t>
        </w:r>
      </w:hyperlink>
      <w:r>
        <w:t xml:space="preserve"> and </w:t>
      </w:r>
      <w:hyperlink r:id="rId12" w:history="1">
        <w:r w:rsidRPr="00945392">
          <w:rPr>
            <w:rStyle w:val="Hyperlink"/>
            <w:color w:val="0070C0"/>
          </w:rPr>
          <w:t>6.2</w:t>
        </w:r>
      </w:hyperlink>
      <w:r>
        <w:t xml:space="preserve"> </w:t>
      </w:r>
    </w:p>
    <w:p w:rsidR="006A43A0" w:rsidRPr="00FE391C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FE391C">
        <w:rPr>
          <w:b/>
        </w:rPr>
        <w:t>Living &amp; Complete Streets</w:t>
      </w:r>
      <w:r>
        <w:t xml:space="preserve">: </w:t>
      </w:r>
      <w:hyperlink r:id="rId13" w:history="1">
        <w:r w:rsidRPr="00FE391C">
          <w:rPr>
            <w:rStyle w:val="Hyperlink"/>
            <w:color w:val="0070C0"/>
          </w:rPr>
          <w:t>11.1</w:t>
        </w:r>
      </w:hyperlink>
      <w:r>
        <w:t xml:space="preserve"> and any two additional actions from </w:t>
      </w:r>
      <w:hyperlink r:id="rId14" w:history="1">
        <w:r w:rsidRPr="00FE391C">
          <w:rPr>
            <w:rStyle w:val="Hyperlink"/>
            <w:color w:val="0070C0"/>
          </w:rPr>
          <w:t>11.2-11.6</w:t>
        </w:r>
      </w:hyperlink>
      <w:bookmarkStart w:id="0" w:name="_GoBack"/>
      <w:bookmarkEnd w:id="0"/>
    </w:p>
    <w:p w:rsidR="006A43A0" w:rsidRPr="00FE391C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FE391C">
        <w:rPr>
          <w:b/>
        </w:rPr>
        <w:t>Mobility Options</w:t>
      </w:r>
      <w:r>
        <w:t xml:space="preserve">: any two actions from </w:t>
      </w:r>
      <w:hyperlink r:id="rId15" w:history="1">
        <w:r w:rsidRPr="00FE391C">
          <w:rPr>
            <w:rStyle w:val="Hyperlink"/>
            <w:color w:val="0070C0"/>
          </w:rPr>
          <w:t>12.1-12.6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Sustainable Purchasing</w:t>
      </w:r>
      <w:r>
        <w:t xml:space="preserve">: </w:t>
      </w:r>
      <w:hyperlink r:id="rId16" w:history="1">
        <w:r w:rsidRPr="00945392">
          <w:rPr>
            <w:rStyle w:val="Hyperlink"/>
            <w:color w:val="0070C0"/>
          </w:rPr>
          <w:t>15.1</w:t>
        </w:r>
      </w:hyperlink>
      <w:r>
        <w:t xml:space="preserve"> and any one additional action from </w:t>
      </w:r>
      <w:hyperlink r:id="rId17" w:history="1">
        <w:r w:rsidRPr="00945392">
          <w:rPr>
            <w:rStyle w:val="Hyperlink"/>
            <w:color w:val="0070C0"/>
          </w:rPr>
          <w:t>15.2-15.8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Trees</w:t>
      </w:r>
      <w:r>
        <w:t xml:space="preserve">: any two actions from </w:t>
      </w:r>
      <w:hyperlink r:id="rId18" w:history="1">
        <w:r w:rsidRPr="00945392">
          <w:rPr>
            <w:rStyle w:val="Hyperlink"/>
            <w:color w:val="0070C0"/>
          </w:rPr>
          <w:t>16.1-16.7</w:t>
        </w:r>
      </w:hyperlink>
    </w:p>
    <w:p w:rsidR="006A43A0" w:rsidRPr="00FE391C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FE391C">
        <w:rPr>
          <w:b/>
        </w:rPr>
        <w:t>Stormwater</w:t>
      </w:r>
      <w:r>
        <w:t xml:space="preserve">: any one action from </w:t>
      </w:r>
      <w:hyperlink r:id="rId19" w:history="1">
        <w:r w:rsidRPr="00FE391C">
          <w:rPr>
            <w:rStyle w:val="Hyperlink"/>
            <w:color w:val="0070C0"/>
          </w:rPr>
          <w:t>17.1-17.6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Benchmarks &amp; Involvement</w:t>
      </w:r>
      <w:r>
        <w:t xml:space="preserve">: </w:t>
      </w:r>
      <w:hyperlink r:id="rId20" w:history="1">
        <w:r w:rsidRPr="00945392">
          <w:rPr>
            <w:rStyle w:val="Hyperlink"/>
            <w:color w:val="0070C0"/>
          </w:rPr>
          <w:t>24.1</w:t>
        </w:r>
      </w:hyperlink>
      <w:r>
        <w:t xml:space="preserve"> and </w:t>
      </w:r>
      <w:hyperlink r:id="rId21" w:history="1">
        <w:r w:rsidRPr="00FE391C">
          <w:rPr>
            <w:rStyle w:val="Hyperlink"/>
            <w:color w:val="0070C0"/>
          </w:rPr>
          <w:t>24.2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Green Businesses</w:t>
      </w:r>
      <w:r>
        <w:t xml:space="preserve">: any two actions from </w:t>
      </w:r>
      <w:hyperlink r:id="rId22" w:history="1">
        <w:r w:rsidRPr="00945392">
          <w:rPr>
            <w:rStyle w:val="Hyperlink"/>
            <w:color w:val="0070C0"/>
          </w:rPr>
          <w:t>25.1-25.7</w:t>
        </w:r>
      </w:hyperlink>
    </w:p>
    <w:p w:rsidR="006A43A0" w:rsidRDefault="006A43A0" w:rsidP="006A43A0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Climate Adaptation</w:t>
      </w:r>
      <w:r>
        <w:rPr>
          <w:b/>
        </w:rPr>
        <w:t>:</w:t>
      </w:r>
      <w:r>
        <w:t xml:space="preserve"> </w:t>
      </w:r>
      <w:hyperlink r:id="rId23" w:history="1">
        <w:r w:rsidRPr="00945392">
          <w:rPr>
            <w:rStyle w:val="Hyperlink"/>
            <w:color w:val="0070C0"/>
          </w:rPr>
          <w:t>29.1</w:t>
        </w:r>
      </w:hyperlink>
      <w:r>
        <w:t xml:space="preserve"> at a 2- or 3-star level  </w:t>
      </w:r>
      <w:r>
        <w:tab/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7"/>
        <w:gridCol w:w="41"/>
        <w:gridCol w:w="810"/>
        <w:gridCol w:w="679"/>
        <w:gridCol w:w="6341"/>
      </w:tblGrid>
      <w:tr w:rsidR="00D15FDB" w:rsidRPr="009917D6" w:rsidTr="00D15FDB">
        <w:trPr>
          <w:trHeight w:val="53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441CE1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 w:themeFill="text2"/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80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54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202D94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72389F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7. </w:t>
            </w:r>
            <w:r>
              <w:rPr>
                <w:rFonts w:cs="Calibri"/>
              </w:rPr>
              <w:t>City Growth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 w:rsidTr="00D15FDB">
        <w:trPr>
          <w:trHeight w:val="531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15FDB" w:rsidRPr="00D15FDB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D15FDB" w:rsidRPr="009917D6" w:rsidTr="00D15FDB">
        <w:trPr>
          <w:trHeight w:val="74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72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3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ED5B4A" w:rsidRDefault="00D15FDB" w:rsidP="00D15FDB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39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65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202D94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ascii="Helvetica Neue" w:hAnsi="Helvetica Neue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15FDB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12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 </w:t>
            </w:r>
          </w:p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color w:val="auto"/>
                <w:sz w:val="20"/>
                <w:szCs w:val="20"/>
              </w:rPr>
            </w:pPr>
            <w:r w:rsidRPr="006E4715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15FDB" w:rsidRPr="009917D6" w:rsidTr="00D15FDB">
        <w:trPr>
          <w:trHeight w:val="55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E4715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5160EA" w:rsidP="005160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5160EA" w:rsidP="005160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27.3 @ 2 STARS – </w:t>
            </w:r>
            <w:r w:rsidRPr="005160EA">
              <w:rPr>
                <w:rFonts w:ascii="Calibri" w:hAnsi="Calibri" w:cs="Calibri"/>
                <w:color w:val="76923C" w:themeColor="accent3" w:themeShade="BF"/>
                <w:sz w:val="20"/>
                <w:szCs w:val="20"/>
              </w:rPr>
              <w:t xml:space="preserve">chickens allowed on residential property; bees allowed on 50 acres+ </w:t>
            </w:r>
          </w:p>
        </w:tc>
      </w:tr>
      <w:tr w:rsidR="00D15FDB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5FDB" w:rsidRPr="009917D6" w:rsidTr="00D15FDB">
        <w:trPr>
          <w:trHeight w:val="693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15FDB" w:rsidRPr="009917D6" w:rsidRDefault="00D15FDB" w:rsidP="00D15FD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9917D6" w:rsidRDefault="00D15FDB" w:rsidP="00D15FDB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FDB" w:rsidRPr="006E4715" w:rsidRDefault="00D15FDB" w:rsidP="00D15F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2755" w:rsidRPr="009917D6" w:rsidRDefault="005B2755" w:rsidP="00D15FDB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 w:rsidP="00D15FDB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 w:rsidP="00D15FDB">
      <w:pPr>
        <w:pStyle w:val="Body"/>
        <w:spacing w:after="0" w:line="240" w:lineRule="auto"/>
        <w:rPr>
          <w:rFonts w:cs="Calibri"/>
        </w:rPr>
      </w:pPr>
    </w:p>
    <w:p w:rsidR="005B2755" w:rsidRDefault="005160EA" w:rsidP="00D15FDB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Mendota Heights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Pr="009917D6" w:rsidRDefault="00202D94" w:rsidP="00202D94">
      <w:pPr>
        <w:pStyle w:val="Body"/>
        <w:numPr>
          <w:ilvl w:val="0"/>
          <w:numId w:val="7"/>
        </w:numPr>
        <w:rPr>
          <w:rFonts w:cs="Calibri"/>
        </w:rPr>
      </w:pPr>
    </w:p>
    <w:sectPr w:rsidR="00202D94" w:rsidRPr="009917D6">
      <w:headerReference w:type="default" r:id="rId24"/>
      <w:footerReference w:type="default" r:id="rId25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202D94"/>
    <w:rsid w:val="00450D1D"/>
    <w:rsid w:val="005160EA"/>
    <w:rsid w:val="005B2755"/>
    <w:rsid w:val="005C36DB"/>
    <w:rsid w:val="006A43A0"/>
    <w:rsid w:val="006A61C9"/>
    <w:rsid w:val="006E4715"/>
    <w:rsid w:val="006E48C7"/>
    <w:rsid w:val="0072389F"/>
    <w:rsid w:val="00956097"/>
    <w:rsid w:val="009917D6"/>
    <w:rsid w:val="009A2EA2"/>
    <w:rsid w:val="00AB38DD"/>
    <w:rsid w:val="00B172DB"/>
    <w:rsid w:val="00BA3482"/>
    <w:rsid w:val="00C25DA1"/>
    <w:rsid w:val="00D15FDB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D712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743" TargetMode="External"/><Relationship Id="rId13" Type="http://schemas.openxmlformats.org/officeDocument/2006/relationships/hyperlink" Target="https://greenstep.pca.state.mn.us/bp-action-detail/81802" TargetMode="External"/><Relationship Id="rId18" Type="http://schemas.openxmlformats.org/officeDocument/2006/relationships/hyperlink" Target="https://greenstep.pca.state.mn.us/bp-detail/8172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reenstep.pca.state.mn.us/bp-action-detail/81881" TargetMode="Externa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action-detail/81776" TargetMode="External"/><Relationship Id="rId17" Type="http://schemas.openxmlformats.org/officeDocument/2006/relationships/hyperlink" Target="https://greenstep.pca.state.mn.us/bp-detail/8172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reenstep.pca.state.mn.us/bp-action-detail/81825" TargetMode="External"/><Relationship Id="rId20" Type="http://schemas.openxmlformats.org/officeDocument/2006/relationships/hyperlink" Target="https://greenstep.pca.state.mn.us/bp-action-detail/818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775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reenstep.pca.state.mn.us/bp-detail/81724" TargetMode="External"/><Relationship Id="rId23" Type="http://schemas.openxmlformats.org/officeDocument/2006/relationships/hyperlink" Target="https://greenstep.pca.state.mn.us/bp-action-detail/81912" TargetMode="External"/><Relationship Id="rId10" Type="http://schemas.openxmlformats.org/officeDocument/2006/relationships/hyperlink" Target="https://greenstep.pca.state.mn.us/bp-detail/81714" TargetMode="External"/><Relationship Id="rId19" Type="http://schemas.openxmlformats.org/officeDocument/2006/relationships/hyperlink" Target="https://greenstep.pca.state.mn.us/bp-detail/817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744" TargetMode="External"/><Relationship Id="rId14" Type="http://schemas.openxmlformats.org/officeDocument/2006/relationships/hyperlink" Target="https://greenstep.pca.state.mn.us/bp-detail/81723" TargetMode="External"/><Relationship Id="rId22" Type="http://schemas.openxmlformats.org/officeDocument/2006/relationships/hyperlink" Target="https://greenstep.pca.state.mn.us/bp-detail/817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3</cp:revision>
  <dcterms:created xsi:type="dcterms:W3CDTF">2021-06-03T14:15:00Z</dcterms:created>
  <dcterms:modified xsi:type="dcterms:W3CDTF">2022-02-28T19:38:00Z</dcterms:modified>
</cp:coreProperties>
</file>