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FB3422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proofErr w:type="gramStart"/>
      <w:r w:rsidRPr="009A2EA2">
        <w:rPr>
          <w:rFonts w:cs="Calibri"/>
          <w:b/>
          <w:bCs/>
          <w:sz w:val="28"/>
          <w:szCs w:val="28"/>
          <w:u w:val="single"/>
        </w:rPr>
        <w:t>A</w:t>
      </w:r>
      <w:proofErr w:type="gramEnd"/>
      <w:r w:rsidRPr="009917D6">
        <w:rPr>
          <w:rFonts w:cs="Calibri"/>
          <w:b/>
          <w:bCs/>
          <w:sz w:val="28"/>
          <w:szCs w:val="28"/>
          <w:u w:val="single"/>
        </w:rPr>
        <w:t xml:space="preserve"> City:  </w:t>
      </w:r>
      <w:r w:rsidR="00FB3422">
        <w:rPr>
          <w:rFonts w:cs="Calibri"/>
          <w:b/>
          <w:bCs/>
          <w:sz w:val="28"/>
          <w:szCs w:val="28"/>
          <w:u w:val="single"/>
        </w:rPr>
        <w:t>Robbinsdale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 xml:space="preserve">Step </w:t>
      </w:r>
      <w:r w:rsidR="00FB3422">
        <w:rPr>
          <w:rFonts w:cs="Calibri"/>
          <w:sz w:val="28"/>
          <w:szCs w:val="28"/>
          <w:u w:val="single"/>
        </w:rPr>
        <w:t>2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FB3422">
        <w:rPr>
          <w:rFonts w:cs="Calibri"/>
          <w:sz w:val="28"/>
          <w:szCs w:val="28"/>
        </w:rPr>
        <w:t>August 2019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FB3422">
        <w:rPr>
          <w:rFonts w:cs="Calibri"/>
          <w:i/>
          <w:iCs/>
        </w:rPr>
        <w:t>2/22/2022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C52ACE" w:rsidRDefault="00C52ACE" w:rsidP="00C52ACE">
                            <w:pPr>
                              <w:pStyle w:val="Body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52ACE">
                              <w:rPr>
                                <w:b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C52ACE" w:rsidRDefault="00C52ACE" w:rsidP="00C52ACE">
                      <w:pPr>
                        <w:pStyle w:val="Body"/>
                        <w:jc w:val="center"/>
                        <w:rPr>
                          <w:b/>
                          <w:sz w:val="32"/>
                        </w:rPr>
                      </w:pPr>
                      <w:r w:rsidRPr="00C52ACE">
                        <w:rPr>
                          <w:b/>
                          <w:sz w:val="32"/>
                        </w:rPr>
                        <w:t>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  <w:bookmarkStart w:id="0" w:name="_GoBack"/>
      <w:bookmarkEnd w:id="0"/>
    </w:p>
    <w:p w:rsidR="005B2755" w:rsidRPr="009917D6" w:rsidRDefault="00FB3422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3562758</wp:posOffset>
                </wp:positionH>
                <wp:positionV relativeFrom="line">
                  <wp:posOffset>154063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272047" id="officeArt object" o:spid="_x0000_s1026" alt="Text Box 7" style="position:absolute;margin-left:280.55pt;margin-top:12.1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FB3422">
        <w:rPr>
          <w:rFonts w:cs="Calibri"/>
          <w:b/>
          <w:bCs/>
          <w:i/>
          <w:iCs/>
        </w:rPr>
        <w:t>2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pPr>
        <w:rPr>
          <w:rFonts w:ascii="Calibri" w:hAnsi="Calibri" w:cs="Calibri"/>
        </w:rPr>
      </w:pPr>
      <w:r w:rsidRPr="006A61C9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6A61C9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6A61C9">
        <w:rPr>
          <w:rFonts w:ascii="Calibri" w:hAnsi="Calibri" w:cs="Calibri"/>
          <w:u w:val="single"/>
        </w:rPr>
        <w:t xml:space="preserve"> level</w:t>
      </w:r>
      <w:r w:rsidRPr="006A61C9">
        <w:rPr>
          <w:rFonts w:ascii="Calibri" w:hAnsi="Calibri" w:cs="Calibri"/>
        </w:rPr>
        <w:t xml:space="preserve"> involves, at a minimum:</w:t>
      </w:r>
    </w:p>
    <w:p w:rsidR="00FB3422" w:rsidRDefault="00FB3422" w:rsidP="00FB3422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 w:rsidRPr="00FB3422">
        <w:rPr>
          <w:rFonts w:cs="Calibri"/>
          <w:b/>
        </w:rPr>
        <w:t>Mobility Options</w:t>
      </w:r>
      <w:r>
        <w:rPr>
          <w:rFonts w:cs="Calibri"/>
        </w:rPr>
        <w:t xml:space="preserve">: Any 1 additional action from </w:t>
      </w:r>
      <w:hyperlink r:id="rId8" w:history="1">
        <w:r w:rsidRPr="00FB3422">
          <w:rPr>
            <w:rStyle w:val="Hyperlink"/>
            <w:rFonts w:cs="Calibri"/>
            <w:color w:val="0070C0"/>
          </w:rPr>
          <w:t>12.2-12.6</w:t>
        </w:r>
      </w:hyperlink>
    </w:p>
    <w:p w:rsidR="00FB3422" w:rsidRPr="00C52ACE" w:rsidRDefault="00C52ACE" w:rsidP="00FB3422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 w:rsidRPr="00C52ACE">
        <w:rPr>
          <w:rFonts w:cs="Calibri"/>
          <w:b/>
        </w:rPr>
        <w:t>Sustainable Purchasing</w:t>
      </w:r>
      <w:r>
        <w:rPr>
          <w:rFonts w:cs="Calibri"/>
        </w:rPr>
        <w:t xml:space="preserve">: </w:t>
      </w:r>
      <w:hyperlink r:id="rId9" w:history="1">
        <w:r w:rsidRPr="00C52ACE">
          <w:rPr>
            <w:rStyle w:val="Hyperlink"/>
            <w:rFonts w:cs="Calibri"/>
            <w:color w:val="0070C0"/>
          </w:rPr>
          <w:t>15.1</w:t>
        </w:r>
      </w:hyperlink>
    </w:p>
    <w:p w:rsidR="00C52ACE" w:rsidRDefault="00C52ACE" w:rsidP="00FB3422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 w:rsidRPr="00C52ACE">
        <w:rPr>
          <w:rFonts w:cs="Calibri"/>
          <w:b/>
        </w:rPr>
        <w:t>Benchmarks &amp; Community Engagement</w:t>
      </w:r>
      <w:r>
        <w:rPr>
          <w:rFonts w:cs="Calibri"/>
        </w:rPr>
        <w:t xml:space="preserve">: </w:t>
      </w:r>
      <w:hyperlink r:id="rId10" w:history="1">
        <w:r w:rsidRPr="00C52ACE">
          <w:rPr>
            <w:rStyle w:val="Hyperlink"/>
            <w:rFonts w:cs="Calibri"/>
            <w:color w:val="0070C0"/>
          </w:rPr>
          <w:t>24.1</w:t>
        </w:r>
      </w:hyperlink>
      <w:r>
        <w:rPr>
          <w:rFonts w:cs="Calibri"/>
        </w:rPr>
        <w:t xml:space="preserve"> and </w:t>
      </w:r>
      <w:hyperlink r:id="rId11" w:history="1">
        <w:r w:rsidRPr="00C52ACE">
          <w:rPr>
            <w:rStyle w:val="Hyperlink"/>
            <w:rFonts w:cs="Calibri"/>
            <w:color w:val="0070C0"/>
          </w:rPr>
          <w:t>24.2</w:t>
        </w:r>
      </w:hyperlink>
    </w:p>
    <w:p w:rsidR="00C52ACE" w:rsidRDefault="00C52ACE" w:rsidP="00FB3422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 w:rsidRPr="00C52ACE">
        <w:rPr>
          <w:rFonts w:cs="Calibri"/>
          <w:b/>
        </w:rPr>
        <w:t>Green Business Development</w:t>
      </w:r>
      <w:r>
        <w:rPr>
          <w:rFonts w:cs="Calibri"/>
        </w:rPr>
        <w:t xml:space="preserve">: Any 2 actions from </w:t>
      </w:r>
      <w:hyperlink r:id="rId12" w:history="1">
        <w:r w:rsidRPr="00C52ACE">
          <w:rPr>
            <w:rStyle w:val="Hyperlink"/>
            <w:rFonts w:cs="Calibri"/>
            <w:color w:val="0070C0"/>
          </w:rPr>
          <w:t>25.1-25.7</w:t>
        </w:r>
      </w:hyperlink>
    </w:p>
    <w:p w:rsidR="00C52ACE" w:rsidRPr="00FB3422" w:rsidRDefault="00C52ACE" w:rsidP="00FB3422">
      <w:pPr>
        <w:pStyle w:val="ListParagraph"/>
        <w:numPr>
          <w:ilvl w:val="0"/>
          <w:numId w:val="10"/>
        </w:numPr>
        <w:spacing w:after="0"/>
        <w:rPr>
          <w:rFonts w:cs="Calibri"/>
        </w:rPr>
      </w:pPr>
      <w:r w:rsidRPr="00C52ACE">
        <w:rPr>
          <w:rFonts w:cs="Calibri"/>
          <w:b/>
        </w:rPr>
        <w:t>Climate Adaptation &amp; Community Resilience</w:t>
      </w:r>
      <w:r>
        <w:rPr>
          <w:rFonts w:cs="Calibri"/>
        </w:rPr>
        <w:t xml:space="preserve">: </w:t>
      </w:r>
      <w:hyperlink r:id="rId13" w:history="1">
        <w:r w:rsidRPr="00C52ACE">
          <w:rPr>
            <w:rStyle w:val="Hyperlink"/>
            <w:rFonts w:cs="Calibri"/>
            <w:color w:val="0070C0"/>
          </w:rPr>
          <w:t>29.1</w:t>
        </w:r>
      </w:hyperlink>
      <w:r>
        <w:rPr>
          <w:rFonts w:cs="Calibri"/>
        </w:rPr>
        <w:t xml:space="preserve"> at a 2- or 3-star rating 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7"/>
        <w:gridCol w:w="41"/>
        <w:gridCol w:w="810"/>
        <w:gridCol w:w="679"/>
        <w:gridCol w:w="6341"/>
      </w:tblGrid>
      <w:tr w:rsidR="00D15FDB" w:rsidRPr="009917D6" w:rsidTr="00D15FDB">
        <w:trPr>
          <w:trHeight w:val="53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441CE1" w:rsidRDefault="00D15FDB" w:rsidP="00D15FDB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</w:tcPr>
          <w:p w:rsidR="00D15FDB" w:rsidRPr="009917D6" w:rsidRDefault="00D15FDB" w:rsidP="00D15FDB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D15FDB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FDB" w:rsidRPr="009917D6" w:rsidRDefault="00D15FDB" w:rsidP="00D15FDB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D15FDB" w:rsidRPr="009917D6" w:rsidRDefault="00D15FDB" w:rsidP="00FB342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</w:t>
            </w:r>
            <w:r w:rsidR="00FB3422" w:rsidRPr="00FB3422">
              <w:rPr>
                <w:rFonts w:cs="Calibri"/>
                <w:b/>
                <w:bCs/>
                <w:color w:val="00B050"/>
              </w:rPr>
              <w:t>YES</w:t>
            </w:r>
          </w:p>
        </w:tc>
      </w:tr>
      <w:tr w:rsidR="00FB3422" w:rsidRPr="009917D6" w:rsidTr="00D15FDB">
        <w:trPr>
          <w:trHeight w:val="80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Default="00FB3422" w:rsidP="00FB3422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FB3422" w:rsidRDefault="00FB3422" w:rsidP="00FB342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1.1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@ 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 STARS: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yrs. of energy data for most public buildings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1.2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occupancy switches &amp; dimmers installed at City buildings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1.3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multiple projects including higher efficiency HVAC systems, LED lighting retrofits, automatic doors and window replacement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1.4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improved thermostats &amp; controls allow remote access for building operators; education of staff about hazards/issues with plug loads of individual heaters / fans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jc w:val="center"/>
            </w:pPr>
            <w:r w:rsidRPr="00FB3422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2.1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@ 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is participating with the Metropolitan Council in offering water efficiency grants to residents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2.5 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allows native prairie plantings; Water Sense equipment promoted via Met Council grants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</w:p>
        </w:tc>
      </w:tr>
      <w:tr w:rsidR="00FB3422" w:rsidRPr="009917D6">
        <w:trPr>
          <w:trHeight w:val="77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jc w:val="center"/>
            </w:pPr>
            <w:r w:rsidRPr="00FB3422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4.5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several solar powered / flashing LED street signs in the downtown; more likely to come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Default="00FB3422" w:rsidP="00FB3422"/>
        </w:tc>
      </w:tr>
      <w:tr w:rsidR="00FB3422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FB3422" w:rsidRPr="009917D6" w:rsidRDefault="00FB3422" w:rsidP="00FB342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FB3422">
              <w:rPr>
                <w:rFonts w:cs="Calibri"/>
                <w:b/>
                <w:bCs/>
                <w:color w:val="00B050"/>
              </w:rPr>
              <w:t>YES</w:t>
            </w:r>
          </w:p>
        </w:tc>
      </w:tr>
      <w:tr w:rsidR="00FB3422" w:rsidRPr="009917D6" w:rsidTr="00D15FDB">
        <w:trPr>
          <w:trHeight w:val="54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6. Comp Plan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Default="00FB3422" w:rsidP="00FB342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6.1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2040 comp plan in approval process for 2020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6.2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TOD Zoning Overlay District flows from Comp Plan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6.3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intergovernmental coordination addressed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jc w:val="center"/>
            </w:pPr>
            <w:r w:rsidRPr="00FB3422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7.1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7.3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Density allowed by right in selected zones: ADUs, SROs/studios/efficiencies, senior housing, co-housing, tiny houses. FAR of 1 allowed in TOD Overlay District. FAR bonuses in select residential districts.</w:t>
            </w:r>
          </w:p>
        </w:tc>
      </w:tr>
      <w:tr w:rsidR="00FB3422" w:rsidRPr="009917D6" w:rsidTr="00D15FDB">
        <w:trPr>
          <w:trHeight w:val="53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FB3422" w:rsidRPr="00D15FDB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jc w:val="center"/>
            </w:pPr>
            <w:r w:rsidRPr="00FB3422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8.2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8.5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DD-1 ZONE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8.6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Transit-Oriented Development District is a form-based code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</w:p>
        </w:tc>
      </w:tr>
      <w:tr w:rsidR="00FB3422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FB3422" w:rsidRPr="009917D6" w:rsidRDefault="00FB3422" w:rsidP="00FB342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 w:rsidRPr="00FB3422">
              <w:rPr>
                <w:rFonts w:cs="Calibri"/>
                <w:b/>
                <w:bCs/>
                <w:color w:val="FF0000"/>
              </w:rPr>
              <w:t>NO</w:t>
            </w:r>
          </w:p>
        </w:tc>
      </w:tr>
      <w:tr w:rsidR="00FB3422" w:rsidRPr="009917D6" w:rsidTr="00D15FDB">
        <w:trPr>
          <w:trHeight w:val="74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</w:t>
            </w:r>
            <w:r>
              <w:rPr>
                <w:rFonts w:cs="Calibri"/>
                <w:b/>
                <w:bCs/>
              </w:rPr>
              <w:t xml:space="preserve"> Living &amp;</w:t>
            </w:r>
            <w:r w:rsidRPr="009917D6">
              <w:rPr>
                <w:rFonts w:cs="Calibri"/>
                <w:b/>
                <w:bCs/>
              </w:rPr>
              <w:t xml:space="preserve"> Complete Streets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Default="00FB3422" w:rsidP="00FB3422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FB3422" w:rsidRDefault="00FB3422" w:rsidP="00FB342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Default="00FB3422" w:rsidP="00FB3422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11.1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</w:t>
            </w:r>
            <w:r w:rsidRPr="00FB3422">
              <w:rPr>
                <w:rFonts w:ascii="Calibri" w:hAnsi="Calibri" w:cs="Arial Unicode MS"/>
                <w:color w:val="00B05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complete streets resolution adopted 2013</w:t>
            </w:r>
          </w:p>
          <w:p w:rsidR="00FB3422" w:rsidRDefault="00FB3422" w:rsidP="00FB3422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11.3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Noble Avenue reconstruction project in 2017/18 done following CS principles</w:t>
            </w:r>
          </w:p>
          <w:p w:rsidR="00FB3422" w:rsidRDefault="00FB3422" w:rsidP="00FB3422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11.4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Pedestrian - Bicycle Plan adopted 2014</w:t>
            </w:r>
          </w:p>
        </w:tc>
      </w:tr>
      <w:tr w:rsidR="00FB3422" w:rsidRPr="009917D6" w:rsidTr="00D15FDB">
        <w:trPr>
          <w:trHeight w:val="72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Default="00FB3422" w:rsidP="00FB3422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FB3422" w:rsidRDefault="00FB3422" w:rsidP="00FB342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Default="00FB3422" w:rsidP="00FB3422">
            <w:pPr>
              <w:pStyle w:val="Body"/>
              <w:spacing w:after="0" w:line="240" w:lineRule="auto"/>
            </w:pPr>
            <w:r>
              <w:t xml:space="preserve">12.1 </w:t>
            </w:r>
            <w:r>
              <w:t>@</w:t>
            </w:r>
            <w:r>
              <w:t xml:space="preserve"> 2 STARS:  </w:t>
            </w:r>
            <w:r w:rsidRPr="00FB3422">
              <w:rPr>
                <w:color w:val="00B050"/>
              </w:rPr>
              <w:t>Illuminated bus route signage, multiple bike racks downtown, planned park and ride structure at LRT stop</w:t>
            </w:r>
          </w:p>
        </w:tc>
      </w:tr>
      <w:tr w:rsidR="00FB3422" w:rsidRPr="009917D6" w:rsidTr="00D15FDB">
        <w:trPr>
          <w:trHeight w:val="63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ED5B4A" w:rsidRDefault="00FB3422" w:rsidP="00FB3422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6E4715" w:rsidRDefault="00FB3422" w:rsidP="00FB3422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B3422" w:rsidRPr="009917D6" w:rsidTr="00D15FDB">
        <w:trPr>
          <w:trHeight w:val="639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6E4715" w:rsidRDefault="00FB3422" w:rsidP="00FB3422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B3422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FB3422" w:rsidRPr="009917D6" w:rsidRDefault="00FB3422" w:rsidP="00FB342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FB3422">
              <w:rPr>
                <w:rFonts w:cs="Calibri"/>
                <w:b/>
                <w:bCs/>
                <w:color w:val="00B050"/>
              </w:rPr>
              <w:t>YES</w:t>
            </w:r>
          </w:p>
        </w:tc>
      </w:tr>
      <w:tr w:rsidR="00FB3422" w:rsidRPr="009917D6" w:rsidTr="00D15FDB">
        <w:trPr>
          <w:trHeight w:val="65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Default="00FB3422" w:rsidP="00FB3422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FB3422" w:rsidRDefault="00FB3422" w:rsidP="00FB342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FB3422">
              <w:rPr>
                <w:sz w:val="20"/>
                <w:szCs w:val="20"/>
              </w:rPr>
              <w:t xml:space="preserve">15.2 </w:t>
            </w:r>
            <w:r>
              <w:rPr>
                <w:sz w:val="20"/>
                <w:szCs w:val="20"/>
              </w:rPr>
              <w:t>@</w:t>
            </w:r>
            <w:r w:rsidRPr="00FB3422">
              <w:rPr>
                <w:sz w:val="20"/>
                <w:szCs w:val="20"/>
              </w:rPr>
              <w:t xml:space="preserve"> 1 STAR:  </w:t>
            </w:r>
            <w:r w:rsidRPr="00FB3422">
              <w:rPr>
                <w:color w:val="00B050"/>
                <w:sz w:val="20"/>
                <w:szCs w:val="20"/>
              </w:rPr>
              <w:t>City is a member of a Community Solar Garden in Wright County</w:t>
            </w:r>
          </w:p>
        </w:tc>
      </w:tr>
      <w:tr w:rsidR="00FB3422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Default="00FB3422" w:rsidP="00FB3422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FB3422" w:rsidRDefault="00FB3422" w:rsidP="00FB342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16.1 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yrs. as of 2019 as a Tree City USA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16.2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City plants </w:t>
            </w:r>
            <w:proofErr w:type="spellStart"/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bareroot</w:t>
            </w:r>
            <w:proofErr w:type="spellEnd"/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trees using an in-house Missouri </w:t>
            </w:r>
            <w:proofErr w:type="spellStart"/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Gravelbed</w:t>
            </w:r>
            <w:proofErr w:type="spellEnd"/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Nursery system and follows </w:t>
            </w:r>
            <w:proofErr w:type="spellStart"/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MnDOT</w:t>
            </w:r>
            <w:proofErr w:type="spellEnd"/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Landscape Specialist recommendations for quality, selection and planting guidelines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16.3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plants approx. 150 trees per year, using about 20 species and replaces every removed tree with at least 1 new tree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16.4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16.5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Native plantings are permitted by Ordinance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16.6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has detailed tree inventory, is managing for EAB, supports volunteer forestry efforts through “Citizen Pruner“ groups, has a full-time forester</w:t>
            </w:r>
          </w:p>
        </w:tc>
      </w:tr>
      <w:tr w:rsidR="00FB3422" w:rsidRPr="009917D6">
        <w:trPr>
          <w:trHeight w:val="79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17. Stormwater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Default="00FB3422" w:rsidP="00FB3422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</w:p>
          <w:p w:rsidR="00FB3422" w:rsidRDefault="00FB3422" w:rsidP="00FB342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17.4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via stormwater utility larger contributors are incentivized to reduce runoff areas with reduced fees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17.5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Cistern installed for rainwater reuse; new water treatment plant will include a green roof over the administrative portion of the building; city requires rain gardens &amp; infiltration galleries in redevelopment sites; porous asphalt installed and monitored for effectiveness; Stockholm Soil configuration used for downtown street trees to provide enhanced growing conditions and reduce pavement uplift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17.6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utilizes pre-wetting and calibrated equipment to reduce salt usage while maintaining safety</w:t>
            </w:r>
          </w:p>
        </w:tc>
      </w:tr>
      <w:tr w:rsidR="00FB3422" w:rsidRPr="009917D6" w:rsidTr="00D15FDB">
        <w:trPr>
          <w:trHeight w:val="612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</w:p>
        </w:tc>
      </w:tr>
      <w:tr w:rsidR="00FB3422" w:rsidRPr="009917D6">
        <w:trPr>
          <w:trHeight w:val="105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jc w:val="center"/>
            </w:pPr>
            <w:r w:rsidRPr="00FB3422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19.2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is a member of the multi community Shingle Creek and Bassett Creek Watersheds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19.6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operates with several TMDL implementation plans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jc w:val="center"/>
            </w:pPr>
            <w:r w:rsidRPr="00FB3422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20.2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budgets and implements installation of well and high-service pump motor VFD's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20.3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has a robust Capital Improvement Program that includes replacement of old infrastructure to reduce inflows (in sanitary sewer) and water losses (in water mains)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20.4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 STARS: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drinking water system operates at the lower level of fluoride required</w:t>
            </w:r>
          </w:p>
          <w:p w:rsidR="00FB3422" w:rsidRPr="00FB3422" w:rsidRDefault="00FB3422" w:rsidP="00FB3422">
            <w:pPr>
              <w:rPr>
                <w:sz w:val="20"/>
                <w:szCs w:val="20"/>
              </w:rPr>
            </w:pP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20.7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r w:rsidRPr="00FB3422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STAR:  </w:t>
            </w:r>
            <w:r w:rsidRPr="00FB3422">
              <w:rPr>
                <w:rFonts w:ascii="Calibri" w:hAnsi="Calibri" w:cs="Arial Unicode MS"/>
                <w:color w:val="00B05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 has an increasing block structure of rates to incentivize reduced water usage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rPr>
                <w:sz w:val="20"/>
                <w:szCs w:val="20"/>
              </w:rPr>
            </w:pP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jc w:val="center"/>
            </w:pPr>
            <w:r w:rsidRPr="00FB3422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FB3422">
              <w:rPr>
                <w:sz w:val="20"/>
                <w:szCs w:val="20"/>
              </w:rPr>
              <w:t xml:space="preserve"> 22.5 </w:t>
            </w:r>
            <w:r>
              <w:rPr>
                <w:sz w:val="20"/>
                <w:szCs w:val="20"/>
              </w:rPr>
              <w:t>@</w:t>
            </w:r>
            <w:r w:rsidRPr="00FB3422">
              <w:rPr>
                <w:sz w:val="20"/>
                <w:szCs w:val="20"/>
              </w:rPr>
              <w:t xml:space="preserve"> 2 STARS:  </w:t>
            </w:r>
            <w:r w:rsidRPr="00FB3422">
              <w:rPr>
                <w:color w:val="00B050"/>
                <w:sz w:val="20"/>
                <w:szCs w:val="20"/>
              </w:rPr>
              <w:t xml:space="preserve">City has entered into a contract for Organics collection with Curbside Waste </w:t>
            </w:r>
          </w:p>
          <w:p w:rsidR="00FB3422" w:rsidRPr="00FB3422" w:rsidRDefault="00FB3422" w:rsidP="00FB342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FB3422">
              <w:rPr>
                <w:sz w:val="20"/>
                <w:szCs w:val="20"/>
              </w:rPr>
              <w:t xml:space="preserve">  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jc w:val="center"/>
            </w:pPr>
            <w:r w:rsidRPr="00FB3422">
              <w:rPr>
                <w:rFonts w:ascii="Calibri" w:hAnsi="Calibri" w:cs="Arial Unicode MS"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FB3422" w:rsidRDefault="00FB3422" w:rsidP="00FB342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FB3422">
              <w:rPr>
                <w:sz w:val="20"/>
                <w:szCs w:val="20"/>
              </w:rPr>
              <w:t xml:space="preserve">23.3 </w:t>
            </w:r>
            <w:r>
              <w:rPr>
                <w:sz w:val="20"/>
                <w:szCs w:val="20"/>
              </w:rPr>
              <w:t>@</w:t>
            </w:r>
            <w:r w:rsidRPr="00FB3422">
              <w:rPr>
                <w:sz w:val="20"/>
                <w:szCs w:val="20"/>
              </w:rPr>
              <w:t xml:space="preserve"> 2 STARS:  </w:t>
            </w:r>
            <w:r w:rsidRPr="00FB3422">
              <w:rPr>
                <w:color w:val="00B050"/>
                <w:sz w:val="20"/>
                <w:szCs w:val="20"/>
              </w:rPr>
              <w:t>City has replaced gasoline powered small equipment used for parks maintenance with rechargeable battery powered equipment</w:t>
            </w:r>
          </w:p>
          <w:p w:rsidR="00FB3422" w:rsidRPr="00FB3422" w:rsidRDefault="00FB3422" w:rsidP="00FB3422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FB3422">
              <w:rPr>
                <w:sz w:val="20"/>
                <w:szCs w:val="20"/>
              </w:rPr>
              <w:t xml:space="preserve">23.5 </w:t>
            </w:r>
            <w:r>
              <w:rPr>
                <w:sz w:val="20"/>
                <w:szCs w:val="20"/>
              </w:rPr>
              <w:t>@</w:t>
            </w:r>
            <w:r w:rsidRPr="00FB3422">
              <w:rPr>
                <w:sz w:val="20"/>
                <w:szCs w:val="20"/>
              </w:rPr>
              <w:t xml:space="preserve"> 2 STARS:  </w:t>
            </w:r>
            <w:r w:rsidRPr="00FB3422">
              <w:rPr>
                <w:color w:val="00B050"/>
                <w:sz w:val="20"/>
                <w:szCs w:val="20"/>
              </w:rPr>
              <w:t>several electric vehicle charging stations have been implemented at a recent grocery store redevelopment</w:t>
            </w:r>
          </w:p>
        </w:tc>
      </w:tr>
      <w:tr w:rsidR="00FB3422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FB3422" w:rsidRPr="009917D6" w:rsidRDefault="00FB3422" w:rsidP="00FB342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FB3422">
              <w:rPr>
                <w:rFonts w:cs="Calibri"/>
                <w:b/>
                <w:bCs/>
                <w:color w:val="FF0000"/>
              </w:rPr>
              <w:t>NO</w:t>
            </w:r>
          </w:p>
        </w:tc>
      </w:tr>
      <w:tr w:rsidR="00FB3422" w:rsidRPr="009917D6" w:rsidTr="00D15FDB">
        <w:trPr>
          <w:trHeight w:val="558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 xml:space="preserve">24. Benchmarks &amp; </w:t>
            </w:r>
            <w:r>
              <w:rPr>
                <w:rFonts w:cs="Calibri"/>
                <w:b/>
                <w:bCs/>
              </w:rPr>
              <w:t>Community Engagement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6E4715" w:rsidRDefault="00FB3422" w:rsidP="00FB3422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6E4715" w:rsidRDefault="00FB3422" w:rsidP="00FB3422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6E4715" w:rsidRDefault="00FB3422" w:rsidP="00FB3422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47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6E4715" w:rsidRDefault="00FB3422" w:rsidP="00FB34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422" w:rsidRPr="009917D6">
        <w:trPr>
          <w:trHeight w:val="53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28. Business Synergies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6E4715" w:rsidRDefault="00FB3422" w:rsidP="00FB34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3422" w:rsidRPr="009917D6" w:rsidTr="00D15FDB">
        <w:trPr>
          <w:trHeight w:val="693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FB3422" w:rsidRPr="009917D6" w:rsidRDefault="00FB3422" w:rsidP="00FB342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9917D6" w:rsidRDefault="00FB3422" w:rsidP="00FB342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22" w:rsidRPr="006E4715" w:rsidRDefault="00FB3422" w:rsidP="00FB342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755" w:rsidRPr="009917D6" w:rsidRDefault="005B2755" w:rsidP="00D15FDB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 w:rsidP="00D15FDB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 w:rsidP="00D15FDB">
      <w:pPr>
        <w:pStyle w:val="Body"/>
        <w:spacing w:after="0" w:line="240" w:lineRule="auto"/>
        <w:rPr>
          <w:rFonts w:cs="Calibri"/>
        </w:rPr>
      </w:pPr>
    </w:p>
    <w:p w:rsidR="00FB3422" w:rsidRDefault="00FB3422" w:rsidP="00FB3422">
      <w:pPr>
        <w:pStyle w:val="Default"/>
        <w:spacing w:before="0"/>
        <w:rPr>
          <w:rFonts w:ascii="Calibri" w:eastAsia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/>
          <w:b/>
          <w:bCs/>
          <w:color w:val="333333"/>
          <w:shd w:val="clear" w:color="auto" w:fill="FFFFFF"/>
        </w:rPr>
        <w:t>ROBBINSDALE — notable actions</w:t>
      </w:r>
    </w:p>
    <w:p w:rsidR="00FB3422" w:rsidRDefault="00FB3422" w:rsidP="00FB3422">
      <w:pPr>
        <w:pStyle w:val="Default"/>
        <w:numPr>
          <w:ilvl w:val="0"/>
          <w:numId w:val="5"/>
        </w:numPr>
        <w:spacing w:before="0"/>
        <w:rPr>
          <w:rFonts w:ascii="Helvetica" w:hAnsi="Helvetica"/>
          <w:color w:val="333333"/>
          <w:shd w:val="clear" w:color="auto" w:fill="FFFFFF"/>
        </w:rPr>
      </w:pPr>
      <w:r>
        <w:rPr>
          <w:rFonts w:ascii="Calibri" w:hAnsi="Calibri"/>
          <w:b/>
          <w:bCs/>
          <w:color w:val="333333"/>
          <w:shd w:val="clear" w:color="auto" w:fill="FFFFFF"/>
        </w:rPr>
        <w:t>Density allowed by right</w:t>
      </w:r>
      <w:r>
        <w:rPr>
          <w:rFonts w:ascii="Calibri" w:hAnsi="Calibri"/>
          <w:color w:val="333333"/>
          <w:shd w:val="clear" w:color="auto" w:fill="FFFFFF"/>
        </w:rPr>
        <w:t xml:space="preserve"> in selected zones: ADUs, SROs/studios/efficiencies, senior housing, co-housing, tiny houses</w:t>
      </w:r>
    </w:p>
    <w:p w:rsidR="00FB3422" w:rsidRDefault="00FB3422" w:rsidP="00FB3422">
      <w:pPr>
        <w:pStyle w:val="Default"/>
        <w:numPr>
          <w:ilvl w:val="0"/>
          <w:numId w:val="5"/>
        </w:numPr>
        <w:spacing w:before="0"/>
        <w:rPr>
          <w:rFonts w:ascii="Helvetica" w:hAnsi="Helvetica"/>
          <w:color w:val="333333"/>
          <w:shd w:val="clear" w:color="auto" w:fill="FFFFFF"/>
        </w:rPr>
      </w:pPr>
      <w:r>
        <w:rPr>
          <w:rFonts w:ascii="Calibri" w:hAnsi="Calibri"/>
          <w:b/>
          <w:bCs/>
          <w:color w:val="333333"/>
          <w:shd w:val="clear" w:color="auto" w:fill="FFFFFF"/>
        </w:rPr>
        <w:t>Form-based zoning</w:t>
      </w:r>
      <w:r>
        <w:rPr>
          <w:rFonts w:ascii="Calibri" w:hAnsi="Calibri"/>
          <w:color w:val="333333"/>
          <w:shd w:val="clear" w:color="auto" w:fill="FFFFFF"/>
        </w:rPr>
        <w:t xml:space="preserve"> the basis for the Transit-Oriented Development district code </w:t>
      </w:r>
    </w:p>
    <w:p w:rsidR="00FB3422" w:rsidRDefault="00FB3422" w:rsidP="00FB3422">
      <w:pPr>
        <w:pStyle w:val="Default"/>
        <w:numPr>
          <w:ilvl w:val="0"/>
          <w:numId w:val="5"/>
        </w:numPr>
        <w:spacing w:before="0"/>
        <w:rPr>
          <w:rFonts w:ascii="Helvetica" w:hAnsi="Helvetica"/>
          <w:color w:val="333333"/>
          <w:shd w:val="clear" w:color="auto" w:fill="FFFFFF"/>
        </w:rPr>
      </w:pPr>
      <w:r>
        <w:rPr>
          <w:rFonts w:ascii="Calibri" w:hAnsi="Calibri"/>
          <w:b/>
          <w:bCs/>
          <w:color w:val="333333"/>
          <w:shd w:val="clear" w:color="auto" w:fill="FFFFFF"/>
        </w:rPr>
        <w:t>Illuminated bus route signage</w:t>
      </w:r>
      <w:r>
        <w:rPr>
          <w:rFonts w:ascii="Calibri" w:hAnsi="Calibri"/>
          <w:color w:val="333333"/>
          <w:shd w:val="clear" w:color="auto" w:fill="FFFFFF"/>
        </w:rPr>
        <w:t>, multiple bike racks downtown, planned park and ride structure at LRT stop</w:t>
      </w:r>
    </w:p>
    <w:p w:rsidR="00FB3422" w:rsidRDefault="00FB3422" w:rsidP="00FB3422">
      <w:pPr>
        <w:pStyle w:val="Default"/>
        <w:numPr>
          <w:ilvl w:val="0"/>
          <w:numId w:val="5"/>
        </w:numPr>
        <w:spacing w:before="0"/>
        <w:rPr>
          <w:rFonts w:ascii="Helvetica" w:hAnsi="Helvetica"/>
          <w:color w:val="333333"/>
          <w:shd w:val="clear" w:color="auto" w:fill="FFFFFF"/>
        </w:rPr>
      </w:pPr>
      <w:r>
        <w:rPr>
          <w:rFonts w:ascii="Calibri" w:hAnsi="Calibri"/>
          <w:b/>
          <w:bCs/>
          <w:color w:val="333333"/>
          <w:shd w:val="clear" w:color="auto" w:fill="FFFFFF"/>
        </w:rPr>
        <w:t>40 years a Tree City</w:t>
      </w:r>
      <w:r>
        <w:rPr>
          <w:rFonts w:ascii="Calibri" w:hAnsi="Calibri"/>
          <w:color w:val="333333"/>
          <w:shd w:val="clear" w:color="auto" w:fill="FFFFFF"/>
        </w:rPr>
        <w:t xml:space="preserve"> USA as of 2019</w:t>
      </w:r>
    </w:p>
    <w:p w:rsidR="00FB3422" w:rsidRDefault="00FB3422" w:rsidP="00FB3422">
      <w:pPr>
        <w:pStyle w:val="Default"/>
        <w:numPr>
          <w:ilvl w:val="0"/>
          <w:numId w:val="5"/>
        </w:numPr>
        <w:spacing w:before="0"/>
        <w:rPr>
          <w:rFonts w:ascii="Helvetica" w:hAnsi="Helvetica"/>
          <w:color w:val="333333"/>
          <w:shd w:val="clear" w:color="auto" w:fill="FFFFFF"/>
        </w:rPr>
      </w:pPr>
      <w:r>
        <w:rPr>
          <w:rFonts w:ascii="Calibri" w:hAnsi="Calibri"/>
          <w:b/>
          <w:bCs/>
          <w:color w:val="333333"/>
          <w:shd w:val="clear" w:color="auto" w:fill="FFFFFF"/>
        </w:rPr>
        <w:t>Citizen Pruner</w:t>
      </w:r>
      <w:r>
        <w:rPr>
          <w:rFonts w:ascii="Calibri" w:hAnsi="Calibri"/>
          <w:color w:val="333333"/>
          <w:shd w:val="clear" w:color="auto" w:fill="FFFFFF"/>
        </w:rPr>
        <w:t xml:space="preserve"> volunteer forestry groups have been trained by U of M staff</w:t>
      </w:r>
    </w:p>
    <w:p w:rsidR="00FB3422" w:rsidRDefault="00FB3422" w:rsidP="00FB3422">
      <w:pPr>
        <w:pStyle w:val="Default"/>
        <w:numPr>
          <w:ilvl w:val="0"/>
          <w:numId w:val="5"/>
        </w:numPr>
        <w:spacing w:before="0"/>
        <w:rPr>
          <w:rFonts w:ascii="Helvetica" w:hAnsi="Helvetica"/>
          <w:color w:val="333333"/>
          <w:shd w:val="clear" w:color="auto" w:fill="FFFFFF"/>
        </w:rPr>
      </w:pPr>
      <w:r>
        <w:rPr>
          <w:rFonts w:ascii="Calibri" w:hAnsi="Calibri"/>
          <w:b/>
          <w:bCs/>
          <w:color w:val="333333"/>
          <w:shd w:val="clear" w:color="auto" w:fill="FFFFFF"/>
        </w:rPr>
        <w:t>Multiple green infrastructure installs</w:t>
      </w:r>
      <w:r>
        <w:rPr>
          <w:rFonts w:ascii="Calibri" w:hAnsi="Calibri"/>
          <w:color w:val="333333"/>
          <w:shd w:val="clear" w:color="auto" w:fill="FFFFFF"/>
        </w:rPr>
        <w:t>: cistern installed for rainwater reuse; new water treatment plant will include a green roof; city requires rain gardens &amp; infiltration galleries in redevelopment sites; porous asphalt installed and monitored for effectiveness; Stockholm Soil configuration used for downtown street trees to provide enhanced growing conditions and reduce pavement uplift</w:t>
      </w:r>
    </w:p>
    <w:p w:rsidR="00FB3422" w:rsidRDefault="00FB3422" w:rsidP="00FB3422">
      <w:pPr>
        <w:pStyle w:val="Default"/>
        <w:numPr>
          <w:ilvl w:val="0"/>
          <w:numId w:val="5"/>
        </w:numPr>
        <w:spacing w:before="0"/>
        <w:rPr>
          <w:rFonts w:ascii="Helvetica" w:hAnsi="Helvetica"/>
          <w:color w:val="333333"/>
          <w:shd w:val="clear" w:color="auto" w:fill="FFFFFF"/>
        </w:rPr>
      </w:pPr>
      <w:r>
        <w:rPr>
          <w:rFonts w:ascii="Calibri" w:hAnsi="Calibri"/>
          <w:b/>
          <w:bCs/>
          <w:color w:val="333333"/>
          <w:shd w:val="clear" w:color="auto" w:fill="FFFFFF"/>
        </w:rPr>
        <w:t xml:space="preserve">Rechargeable battery powered parks maintenance equipment </w:t>
      </w:r>
      <w:r>
        <w:rPr>
          <w:rFonts w:ascii="Calibri" w:hAnsi="Calibri"/>
          <w:color w:val="333333"/>
          <w:shd w:val="clear" w:color="auto" w:fill="FFFFFF"/>
        </w:rPr>
        <w:t>has replaced gasoline powered small equipment</w:t>
      </w:r>
    </w:p>
    <w:sectPr w:rsidR="00FB3422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08AA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40D4"/>
    <w:multiLevelType w:val="hybridMultilevel"/>
    <w:tmpl w:val="ADD6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73C2"/>
    <w:multiLevelType w:val="hybridMultilevel"/>
    <w:tmpl w:val="4586ABE2"/>
    <w:numStyleLink w:val="Bullets"/>
  </w:abstractNum>
  <w:abstractNum w:abstractNumId="3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3349"/>
    <w:multiLevelType w:val="hybridMultilevel"/>
    <w:tmpl w:val="4586ABE2"/>
    <w:styleLink w:val="Bullets"/>
    <w:lvl w:ilvl="0" w:tplc="7AF45B64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F066D0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C5C06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06F4A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276EA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40AD0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264A9E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AF0E0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E0E866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6B7717"/>
    <w:multiLevelType w:val="hybridMultilevel"/>
    <w:tmpl w:val="A87AC9DE"/>
    <w:numStyleLink w:val="ImportedStyle2"/>
  </w:abstractNum>
  <w:abstractNum w:abstractNumId="7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0B7BC7"/>
    <w:multiLevelType w:val="hybridMultilevel"/>
    <w:tmpl w:val="552023FA"/>
    <w:numStyleLink w:val="ImportedStyle1"/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202D94"/>
    <w:rsid w:val="002F2119"/>
    <w:rsid w:val="00450D1D"/>
    <w:rsid w:val="005B2755"/>
    <w:rsid w:val="005C36DB"/>
    <w:rsid w:val="006A61C9"/>
    <w:rsid w:val="006E4715"/>
    <w:rsid w:val="006E48C7"/>
    <w:rsid w:val="0072389F"/>
    <w:rsid w:val="00956097"/>
    <w:rsid w:val="009917D6"/>
    <w:rsid w:val="009A2EA2"/>
    <w:rsid w:val="00AB38DD"/>
    <w:rsid w:val="00B172DB"/>
    <w:rsid w:val="00BA3482"/>
    <w:rsid w:val="00C25DA1"/>
    <w:rsid w:val="00C52ACE"/>
    <w:rsid w:val="00D15FDB"/>
    <w:rsid w:val="00EC5911"/>
    <w:rsid w:val="00ED5B4A"/>
    <w:rsid w:val="00FB3422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D774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FB3422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FB342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detail/81724" TargetMode="External"/><Relationship Id="rId13" Type="http://schemas.openxmlformats.org/officeDocument/2006/relationships/hyperlink" Target="https://greenstep.pca.state.mn.us/bp-action-detail/81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12" Type="http://schemas.openxmlformats.org/officeDocument/2006/relationships/hyperlink" Target="https://greenstep.pca.state.mn.us/bp-detail/817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action-detail/8188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reenstep.pca.state.mn.us/bp-action-detail/81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action-detail/818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2</cp:revision>
  <dcterms:created xsi:type="dcterms:W3CDTF">2022-02-22T20:25:00Z</dcterms:created>
  <dcterms:modified xsi:type="dcterms:W3CDTF">2022-02-22T20:25:00Z</dcterms:modified>
</cp:coreProperties>
</file>