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CA" w:rsidRDefault="00A076CA" w:rsidP="00D32A3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bookmarkStart w:id="0" w:name="_GoBack"/>
      <w:bookmarkEnd w:id="0"/>
      <w:r w:rsidRPr="00A076CA">
        <w:rPr>
          <w:rFonts w:ascii="Arial" w:hAnsi="Arial" w:cs="Arial"/>
          <w:b/>
          <w:noProof/>
          <w:sz w:val="28"/>
          <w:szCs w:val="28"/>
        </w:rPr>
        <w:t xml:space="preserve">City </w:t>
      </w:r>
      <w:r w:rsidR="00DC03C6" w:rsidRPr="00A076CA">
        <w:rPr>
          <w:rFonts w:ascii="Arial" w:hAnsi="Arial" w:cs="Arial"/>
          <w:b/>
          <w:noProof/>
          <w:sz w:val="28"/>
          <w:szCs w:val="28"/>
        </w:rPr>
        <w:t>Solid Waste Colle</w:t>
      </w:r>
      <w:r w:rsidR="00D32A30" w:rsidRPr="00A076CA">
        <w:rPr>
          <w:rFonts w:ascii="Arial" w:hAnsi="Arial" w:cs="Arial"/>
          <w:b/>
          <w:noProof/>
          <w:sz w:val="28"/>
          <w:szCs w:val="28"/>
        </w:rPr>
        <w:t xml:space="preserve">ction </w:t>
      </w:r>
    </w:p>
    <w:p w:rsidR="00DC03C6" w:rsidRPr="00A076CA" w:rsidRDefault="00C86F52" w:rsidP="00D32A3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Best Management Practice Options</w:t>
      </w:r>
    </w:p>
    <w:p w:rsidR="00DC03C6" w:rsidRDefault="00DC03C6" w:rsidP="00DC03C6"/>
    <w:tbl>
      <w:tblPr>
        <w:tblStyle w:val="TableGrid"/>
        <w:tblW w:w="10260" w:type="dxa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C03C6" w:rsidRPr="00C86F52" w:rsidRDefault="00E87E7C" w:rsidP="00E87E7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Good </w:t>
            </w:r>
            <w:r w:rsidR="00DC03C6" w:rsidRPr="00C86F52">
              <w:rPr>
                <w:rFonts w:ascii="Times New Roman" w:hAnsi="Times New Roman" w:cs="Times New Roman"/>
                <w:b/>
                <w:sz w:val="24"/>
                <w:szCs w:val="24"/>
              </w:rPr>
              <w:t>Collection Practices</w:t>
            </w:r>
          </w:p>
          <w:p w:rsidR="00E87E7C" w:rsidRPr="00E87E7C" w:rsidRDefault="00E87E7C" w:rsidP="00BC743C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Cities in </w:t>
            </w:r>
            <w:r w:rsidR="00BC743C">
              <w:rPr>
                <w:rFonts w:ascii="Times New Roman" w:hAnsi="Times New Roman" w:cs="Times New Roman"/>
                <w:sz w:val="24"/>
                <w:szCs w:val="24"/>
              </w:rPr>
              <w:t>2015 that have adopted one of these options below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E75">
              <w:rPr>
                <w:rFonts w:ascii="Times New Roman" w:hAnsi="Times New Roman" w:cs="Times New Roman"/>
                <w:sz w:val="24"/>
                <w:szCs w:val="24"/>
              </w:rPr>
              <w:t xml:space="preserve">include: </w:t>
            </w:r>
            <w:r w:rsidR="00BC743C">
              <w:rPr>
                <w:rFonts w:ascii="Times New Roman" w:hAnsi="Times New Roman" w:cs="Times New Roman"/>
                <w:sz w:val="24"/>
                <w:szCs w:val="24"/>
              </w:rPr>
              <w:t xml:space="preserve">Chanhassen, </w:t>
            </w:r>
            <w:r w:rsidRPr="006E1E75">
              <w:rPr>
                <w:rFonts w:ascii="Times New Roman" w:hAnsi="Times New Roman" w:cs="Times New Roman"/>
                <w:sz w:val="24"/>
                <w:szCs w:val="24"/>
              </w:rPr>
              <w:t>Cottage Grove, Newport, Carver</w:t>
            </w:r>
            <w:r w:rsidR="00BC74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1E75">
              <w:rPr>
                <w:rFonts w:ascii="Times New Roman" w:hAnsi="Times New Roman" w:cs="Times New Roman"/>
                <w:sz w:val="24"/>
                <w:szCs w:val="24"/>
              </w:rPr>
              <w:t xml:space="preserve"> and Chaska.</w:t>
            </w:r>
          </w:p>
        </w:tc>
      </w:tr>
      <w:tr w:rsidR="00FF6C01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01" w:rsidRDefault="00FF6C01" w:rsidP="00FF6C01">
            <w:pPr>
              <w:pStyle w:val="bullets1"/>
              <w:numPr>
                <w:ilvl w:val="0"/>
                <w:numId w:val="0"/>
              </w:numPr>
            </w:pPr>
          </w:p>
          <w:p w:rsidR="00FF6C01" w:rsidRPr="00B711EC" w:rsidRDefault="00FF6C01" w:rsidP="00FF6C01">
            <w:pPr>
              <w:pStyle w:val="bullets1"/>
              <w:numPr>
                <w:ilvl w:val="0"/>
                <w:numId w:val="7"/>
              </w:numPr>
            </w:pPr>
            <w:r>
              <w:rPr>
                <w:b/>
              </w:rPr>
              <w:t>Hauler L</w:t>
            </w:r>
            <w:r w:rsidRPr="007230E0">
              <w:rPr>
                <w:b/>
              </w:rPr>
              <w:t>icenses</w:t>
            </w:r>
          </w:p>
          <w:p w:rsidR="00FF6C01" w:rsidRDefault="00FF6C01" w:rsidP="00FF6C01">
            <w:pPr>
              <w:pStyle w:val="bullets1"/>
              <w:numPr>
                <w:ilvl w:val="0"/>
                <w:numId w:val="0"/>
              </w:numPr>
              <w:ind w:left="720"/>
            </w:pPr>
            <w:r w:rsidRPr="00B711EC">
              <w:rPr>
                <w:i/>
              </w:rPr>
              <w:t xml:space="preserve">Require licensing of </w:t>
            </w:r>
            <w:r>
              <w:rPr>
                <w:i/>
              </w:rPr>
              <w:t xml:space="preserve">all residential trash and recycling </w:t>
            </w:r>
            <w:r w:rsidRPr="00B711EC">
              <w:rPr>
                <w:i/>
              </w:rPr>
              <w:t>haulers</w:t>
            </w:r>
            <w:r>
              <w:t>.</w:t>
            </w:r>
          </w:p>
          <w:p w:rsidR="00C86F52" w:rsidRPr="00C86F52" w:rsidRDefault="00FF6C01" w:rsidP="009246EB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303F57">
              <w:rPr>
                <w:rFonts w:ascii="Times New Roman" w:hAnsi="Times New Roman" w:cs="Times New Roman"/>
                <w:sz w:val="24"/>
                <w:szCs w:val="24"/>
              </w:rPr>
              <w:t>See the</w:t>
            </w:r>
            <w:r w:rsidRPr="00C86F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Good License Template</w:t>
            </w:r>
            <w:r w:rsidRPr="009246EB">
              <w:rPr>
                <w:rFonts w:ascii="Times New Roman" w:hAnsi="Times New Roman" w:cs="Times New Roman"/>
                <w:sz w:val="24"/>
                <w:szCs w:val="24"/>
              </w:rPr>
              <w:t xml:space="preserve"> for legal language that would be adopted by ordinance</w:t>
            </w:r>
            <w:r w:rsidR="00C86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C01" w:rsidRDefault="00C86F52" w:rsidP="00C86F5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See the </w:t>
            </w:r>
            <w:r w:rsidRPr="00C16906">
              <w:rPr>
                <w:rFonts w:ascii="Times New Roman" w:hAnsi="Times New Roman"/>
                <w:sz w:val="24"/>
                <w:szCs w:val="24"/>
                <w:u w:val="single"/>
              </w:rPr>
              <w:t>Hauler Services Agreement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a t</w:t>
            </w:r>
            <w:r w:rsidRPr="00C16906">
              <w:rPr>
                <w:rFonts w:ascii="Times New Roman" w:hAnsi="Times New Roman"/>
                <w:sz w:val="24"/>
                <w:szCs w:val="24"/>
              </w:rPr>
              <w:t xml:space="preserve">emplate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use in contracting for </w:t>
            </w:r>
            <w:r w:rsidRPr="007B7826">
              <w:rPr>
                <w:rFonts w:ascii="Times New Roman" w:hAnsi="Times New Roman"/>
                <w:sz w:val="24"/>
                <w:szCs w:val="24"/>
              </w:rPr>
              <w:t>solid waste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2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recycling services</w:t>
            </w:r>
            <w:r w:rsidRPr="007B7826">
              <w:rPr>
                <w:rFonts w:ascii="Times New Roman" w:hAnsi="Times New Roman"/>
                <w:sz w:val="24"/>
                <w:szCs w:val="24"/>
              </w:rPr>
              <w:t>.</w:t>
            </w:r>
            <w:r w:rsidRPr="000513B2">
              <w:t xml:space="preserve">  </w:t>
            </w:r>
          </w:p>
        </w:tc>
      </w:tr>
      <w:tr w:rsidR="00D34348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8" w:rsidRDefault="00D34348" w:rsidP="00D34348">
            <w:pPr>
              <w:pStyle w:val="bullets1"/>
              <w:numPr>
                <w:ilvl w:val="0"/>
                <w:numId w:val="0"/>
              </w:numPr>
              <w:ind w:left="720"/>
            </w:pPr>
          </w:p>
          <w:p w:rsidR="00D34348" w:rsidRPr="007A4746" w:rsidRDefault="009246EB" w:rsidP="00D34348">
            <w:pPr>
              <w:pStyle w:val="bullets1"/>
              <w:rPr>
                <w:b/>
              </w:rPr>
            </w:pPr>
            <w:r>
              <w:rPr>
                <w:b/>
              </w:rPr>
              <w:t>Hauling Districts, Option One: R</w:t>
            </w:r>
            <w:r w:rsidR="00D34348" w:rsidRPr="007A4746">
              <w:rPr>
                <w:b/>
              </w:rPr>
              <w:t>esident</w:t>
            </w:r>
            <w:r>
              <w:rPr>
                <w:b/>
              </w:rPr>
              <w:t>-Organized</w:t>
            </w:r>
          </w:p>
          <w:p w:rsidR="00D34348" w:rsidRDefault="00D34348" w:rsidP="00D34348">
            <w:pPr>
              <w:pStyle w:val="bullets1"/>
              <w:numPr>
                <w:ilvl w:val="0"/>
                <w:numId w:val="0"/>
              </w:numPr>
              <w:ind w:left="720"/>
            </w:pPr>
            <w:r>
              <w:rPr>
                <w:i/>
              </w:rPr>
              <w:t>Provide and promote “</w:t>
            </w:r>
            <w:r w:rsidR="009246EB">
              <w:rPr>
                <w:i/>
              </w:rPr>
              <w:t>Do-it-</w:t>
            </w:r>
            <w:proofErr w:type="spellStart"/>
            <w:r w:rsidR="009246EB">
              <w:rPr>
                <w:i/>
              </w:rPr>
              <w:t>Y</w:t>
            </w:r>
            <w:r>
              <w:rPr>
                <w:i/>
              </w:rPr>
              <w:t>ourself”directions</w:t>
            </w:r>
            <w:proofErr w:type="spellEnd"/>
            <w:r>
              <w:t xml:space="preserve"> to residents who can then self-organize neighborhood blocks to be serviced by only one hauler (or one trash and one recycling hauler) on only one day each week.</w:t>
            </w:r>
          </w:p>
          <w:p w:rsidR="00D34348" w:rsidRPr="00294BCC" w:rsidRDefault="00D34348" w:rsidP="00D34348">
            <w:pPr>
              <w:pStyle w:val="bullets1"/>
              <w:numPr>
                <w:ilvl w:val="0"/>
                <w:numId w:val="3"/>
              </w:numPr>
            </w:pPr>
            <w:r w:rsidRPr="007A4746">
              <w:rPr>
                <w:sz w:val="23"/>
                <w:szCs w:val="23"/>
                <w:u w:val="single"/>
              </w:rPr>
              <w:t>See guidebooks</w:t>
            </w:r>
            <w:r w:rsidRPr="007A4746">
              <w:rPr>
                <w:sz w:val="23"/>
                <w:szCs w:val="23"/>
              </w:rPr>
              <w:t xml:space="preserve"> from Chanhassen, Dakota Valley Recycling, and St. Paul's Macalester-Groveland neighborhood </w:t>
            </w:r>
            <w:r w:rsidR="00BC743C">
              <w:rPr>
                <w:sz w:val="23"/>
                <w:szCs w:val="23"/>
              </w:rPr>
              <w:t xml:space="preserve">in the </w:t>
            </w:r>
            <w:r w:rsidRPr="007A4746">
              <w:rPr>
                <w:sz w:val="23"/>
                <w:szCs w:val="23"/>
              </w:rPr>
              <w:t xml:space="preserve">MN </w:t>
            </w:r>
            <w:proofErr w:type="spellStart"/>
            <w:r w:rsidRPr="007A4746">
              <w:rPr>
                <w:sz w:val="23"/>
                <w:szCs w:val="23"/>
              </w:rPr>
              <w:t>GreenStep</w:t>
            </w:r>
            <w:proofErr w:type="spellEnd"/>
            <w:r w:rsidRPr="007A4746">
              <w:rPr>
                <w:sz w:val="23"/>
                <w:szCs w:val="23"/>
              </w:rPr>
              <w:t xml:space="preserve"> Cities best practice action 22.6 at </w:t>
            </w:r>
            <w:hyperlink r:id="rId8" w:history="1">
              <w:r w:rsidRPr="00360CBB">
                <w:rPr>
                  <w:rStyle w:val="Hyperlink"/>
                  <w:sz w:val="23"/>
                  <w:szCs w:val="23"/>
                </w:rPr>
                <w:t>http://www.MnGreenStep.org</w:t>
              </w:r>
            </w:hyperlink>
          </w:p>
        </w:tc>
      </w:tr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CC" w:rsidRPr="00294BCC" w:rsidRDefault="00294BCC" w:rsidP="00D34348">
            <w:pPr>
              <w:pStyle w:val="bullets1"/>
              <w:numPr>
                <w:ilvl w:val="0"/>
                <w:numId w:val="0"/>
              </w:numPr>
            </w:pPr>
          </w:p>
          <w:p w:rsidR="00B711EC" w:rsidRPr="00B711EC" w:rsidRDefault="00294BCC" w:rsidP="00B711EC">
            <w:pPr>
              <w:pStyle w:val="bullets1"/>
            </w:pPr>
            <w:r>
              <w:rPr>
                <w:b/>
              </w:rPr>
              <w:t xml:space="preserve">Hauling </w:t>
            </w:r>
            <w:r w:rsidR="00D34348">
              <w:rPr>
                <w:b/>
              </w:rPr>
              <w:t>Districts</w:t>
            </w:r>
            <w:r w:rsidR="009246EB">
              <w:rPr>
                <w:b/>
              </w:rPr>
              <w:t>, Option Two: City-Established</w:t>
            </w:r>
          </w:p>
          <w:p w:rsidR="00DC03C6" w:rsidRDefault="00294BCC" w:rsidP="000C2BFE">
            <w:pPr>
              <w:pStyle w:val="bullets1"/>
              <w:numPr>
                <w:ilvl w:val="0"/>
                <w:numId w:val="0"/>
              </w:numPr>
              <w:ind w:left="720"/>
            </w:pPr>
            <w:r>
              <w:rPr>
                <w:i/>
              </w:rPr>
              <w:t xml:space="preserve">Establish residential geographic collection zones </w:t>
            </w:r>
            <w:r>
              <w:t>for trash and recycling hauler</w:t>
            </w:r>
            <w:r w:rsidR="000C2BFE">
              <w:t>s. This k</w:t>
            </w:r>
            <w:r w:rsidR="000C2BFE" w:rsidRPr="000C2BFE">
              <w:t>eep</w:t>
            </w:r>
            <w:r w:rsidR="000C2BFE">
              <w:t>s</w:t>
            </w:r>
            <w:r w:rsidR="000C2BFE" w:rsidRPr="000C2BFE">
              <w:t xml:space="preserve"> trucks </w:t>
            </w:r>
            <w:r w:rsidR="000C2BFE">
              <w:t>in a delineated neighborhood</w:t>
            </w:r>
            <w:r w:rsidR="000C2BFE" w:rsidRPr="000C2BFE">
              <w:t xml:space="preserve"> only on a specified day each week, instead of allowing trucks anywhere in the City on any day.  This is a benefit to public safety, road wear and tear</w:t>
            </w:r>
            <w:r w:rsidR="001C6834">
              <w:t xml:space="preserve"> expenses</w:t>
            </w:r>
            <w:r w:rsidR="000C2BFE" w:rsidRPr="000C2BFE">
              <w:t>, reduction in noise</w:t>
            </w:r>
            <w:r w:rsidR="000C2BFE">
              <w:t>,</w:t>
            </w:r>
            <w:r w:rsidR="000C2BFE" w:rsidRPr="000C2BFE">
              <w:t xml:space="preserve"> and neighborhood aesthetics. Garbage </w:t>
            </w:r>
            <w:r w:rsidR="001C6834">
              <w:t xml:space="preserve">and recycling </w:t>
            </w:r>
            <w:r w:rsidR="000C2BFE" w:rsidRPr="000C2BFE">
              <w:t>carts serviced at the curb would only be put out and in public sight one day each week</w:t>
            </w:r>
            <w:r w:rsidR="001C6834">
              <w:t xml:space="preserve"> in a neighborhood</w:t>
            </w:r>
            <w:r w:rsidR="000C2BFE" w:rsidRPr="000C2BFE">
              <w:t>.</w:t>
            </w:r>
          </w:p>
          <w:p w:rsidR="001C6834" w:rsidRPr="001C6834" w:rsidRDefault="001C6834" w:rsidP="001C68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834">
              <w:rPr>
                <w:rFonts w:ascii="Times New Roman" w:hAnsi="Times New Roman" w:cs="Times New Roman"/>
                <w:sz w:val="24"/>
                <w:szCs w:val="24"/>
              </w:rPr>
              <w:t xml:space="preserve">See the </w:t>
            </w:r>
            <w:r w:rsidRPr="001C68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Road Wear-and-Tear Calculator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proofErr w:type="spellStart"/>
            <w:r w:rsidRPr="001C6834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proofErr w:type="spellEnd"/>
            <w:r w:rsidRPr="001C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GreenStep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834">
              <w:rPr>
                <w:rFonts w:ascii="Times New Roman" w:hAnsi="Times New Roman" w:cs="Times New Roman"/>
                <w:sz w:val="24"/>
                <w:szCs w:val="24"/>
              </w:rPr>
              <w:t>action 22.6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F57" w:rsidRPr="00303F57" w:rsidRDefault="00303F57" w:rsidP="00303F5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303F57">
              <w:rPr>
                <w:rFonts w:ascii="Times New Roman" w:hAnsi="Times New Roman" w:cs="Times New Roman"/>
                <w:sz w:val="24"/>
                <w:szCs w:val="24"/>
              </w:rPr>
              <w:t>See the</w:t>
            </w:r>
            <w:r w:rsidRPr="00C86F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Good License Template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43C" w:rsidRPr="00837781" w:rsidRDefault="00303F57" w:rsidP="00303F57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303F57">
              <w:rPr>
                <w:rFonts w:ascii="Times New Roman" w:hAnsi="Times New Roman" w:cs="Times New Roman"/>
                <w:sz w:val="24"/>
                <w:szCs w:val="24"/>
              </w:rPr>
              <w:t xml:space="preserve">See </w:t>
            </w:r>
            <w:r w:rsidRPr="00303F5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303F57">
              <w:rPr>
                <w:rFonts w:ascii="Times New Roman" w:hAnsi="Times New Roman"/>
                <w:sz w:val="24"/>
                <w:szCs w:val="24"/>
                <w:u w:val="single"/>
              </w:rPr>
              <w:t>Hauler Services Agreement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7781" w:rsidRPr="00303F57" w:rsidRDefault="00837781" w:rsidP="00837781">
            <w:pPr>
              <w:pStyle w:val="ListParagraph"/>
              <w:spacing w:after="0" w:line="240" w:lineRule="auto"/>
            </w:pPr>
          </w:p>
        </w:tc>
      </w:tr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03C6" w:rsidRPr="00C86F52" w:rsidRDefault="00D30635" w:rsidP="006B3FB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52">
              <w:rPr>
                <w:rFonts w:ascii="Times New Roman" w:hAnsi="Times New Roman" w:cs="Times New Roman"/>
                <w:b/>
                <w:sz w:val="24"/>
                <w:szCs w:val="24"/>
              </w:rPr>
              <w:t>Better Collection Practices</w:t>
            </w:r>
          </w:p>
        </w:tc>
      </w:tr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E6" w:rsidRPr="00E12AE6" w:rsidRDefault="00E12AE6" w:rsidP="00E12AE6">
            <w:pPr>
              <w:pStyle w:val="bullets1"/>
              <w:numPr>
                <w:ilvl w:val="0"/>
                <w:numId w:val="0"/>
              </w:numPr>
              <w:ind w:left="720"/>
            </w:pPr>
          </w:p>
          <w:p w:rsidR="00B711EC" w:rsidRPr="00E12AE6" w:rsidRDefault="00E12AE6" w:rsidP="00B711EC">
            <w:pPr>
              <w:pStyle w:val="bullets1"/>
              <w:rPr>
                <w:b/>
              </w:rPr>
            </w:pPr>
            <w:r w:rsidRPr="00E12AE6">
              <w:rPr>
                <w:b/>
              </w:rPr>
              <w:t>City</w:t>
            </w:r>
            <w:r>
              <w:rPr>
                <w:b/>
              </w:rPr>
              <w:t xml:space="preserve"> Contract</w:t>
            </w:r>
            <w:r w:rsidR="00DB5C22">
              <w:rPr>
                <w:b/>
              </w:rPr>
              <w:t>ing</w:t>
            </w:r>
            <w:r>
              <w:rPr>
                <w:b/>
              </w:rPr>
              <w:t xml:space="preserve"> for Residential </w:t>
            </w:r>
            <w:r w:rsidRPr="00E12AE6">
              <w:rPr>
                <w:b/>
              </w:rPr>
              <w:t>Recycling via RFP</w:t>
            </w:r>
          </w:p>
          <w:p w:rsidR="0075613F" w:rsidRDefault="00E12AE6" w:rsidP="00E12AE6">
            <w:pPr>
              <w:pStyle w:val="bullets1"/>
              <w:numPr>
                <w:ilvl w:val="0"/>
                <w:numId w:val="0"/>
              </w:numPr>
              <w:ind w:left="720"/>
              <w:rPr>
                <w:sz w:val="23"/>
                <w:szCs w:val="23"/>
              </w:rPr>
            </w:pPr>
            <w:r>
              <w:rPr>
                <w:i/>
              </w:rPr>
              <w:t xml:space="preserve">Organize city-wide collection of recyclable materials via a </w:t>
            </w:r>
            <w:r w:rsidR="00DB5C22">
              <w:rPr>
                <w:i/>
              </w:rPr>
              <w:t xml:space="preserve">standard </w:t>
            </w:r>
            <w:r>
              <w:rPr>
                <w:i/>
              </w:rPr>
              <w:t xml:space="preserve">Request for Proposals </w:t>
            </w:r>
            <w:r w:rsidRPr="00E12AE6">
              <w:t>(RF</w:t>
            </w:r>
            <w:r w:rsidR="00DB5C22">
              <w:t xml:space="preserve">P) </w:t>
            </w:r>
            <w:r w:rsidRPr="00E12AE6">
              <w:t>procurement process</w:t>
            </w:r>
            <w:r w:rsidR="00B711EC" w:rsidRPr="00E12AE6">
              <w:t>.</w:t>
            </w:r>
            <w:r>
              <w:t xml:space="preserve"> </w:t>
            </w:r>
            <w:r w:rsidR="00DC03C6" w:rsidRPr="00E12AE6">
              <w:rPr>
                <w:sz w:val="23"/>
                <w:szCs w:val="23"/>
              </w:rPr>
              <w:t xml:space="preserve">Contracting for City-wide recycling services does not require that the City use the Organized Collection process cited in M.S. 115A.94, </w:t>
            </w:r>
            <w:proofErr w:type="spellStart"/>
            <w:r w:rsidR="00DC03C6" w:rsidRPr="00E12AE6">
              <w:rPr>
                <w:sz w:val="23"/>
                <w:szCs w:val="23"/>
              </w:rPr>
              <w:t>Subd</w:t>
            </w:r>
            <w:proofErr w:type="spellEnd"/>
            <w:r w:rsidR="00DC03C6" w:rsidRPr="00E12AE6">
              <w:rPr>
                <w:sz w:val="23"/>
                <w:szCs w:val="23"/>
              </w:rPr>
              <w:t xml:space="preserve">. 4d. The City can issue a single RFP for recyclables collection and processing and marketing, or </w:t>
            </w:r>
            <w:r w:rsidR="004662C3">
              <w:rPr>
                <w:sz w:val="23"/>
                <w:szCs w:val="23"/>
              </w:rPr>
              <w:t xml:space="preserve">a </w:t>
            </w:r>
            <w:r w:rsidR="004662C3" w:rsidRPr="004662C3">
              <w:rPr>
                <w:sz w:val="23"/>
                <w:szCs w:val="23"/>
              </w:rPr>
              <w:t xml:space="preserve">separate RFP for recyclables collection </w:t>
            </w:r>
            <w:r w:rsidR="004662C3">
              <w:rPr>
                <w:sz w:val="23"/>
                <w:szCs w:val="23"/>
              </w:rPr>
              <w:t xml:space="preserve">and </w:t>
            </w:r>
            <w:r w:rsidR="00DC03C6" w:rsidRPr="00E12AE6">
              <w:rPr>
                <w:sz w:val="23"/>
                <w:szCs w:val="23"/>
              </w:rPr>
              <w:t>a separate RFP for processing and marketing of recyclables.</w:t>
            </w:r>
          </w:p>
          <w:p w:rsidR="00DC03C6" w:rsidRDefault="0075613F" w:rsidP="00E12AE6">
            <w:pPr>
              <w:pStyle w:val="bullets1"/>
              <w:numPr>
                <w:ilvl w:val="0"/>
                <w:numId w:val="0"/>
              </w:numPr>
              <w:ind w:left="720"/>
              <w:rPr>
                <w:sz w:val="23"/>
                <w:szCs w:val="23"/>
              </w:rPr>
            </w:pPr>
            <w:r w:rsidRPr="0075613F">
              <w:rPr>
                <w:i/>
                <w:sz w:val="23"/>
                <w:szCs w:val="23"/>
              </w:rPr>
              <w:t>Selected examples in 2015 of Cities that use a City-wide contract(s)</w:t>
            </w:r>
            <w:r w:rsidRPr="0075613F">
              <w:rPr>
                <w:sz w:val="23"/>
                <w:szCs w:val="23"/>
              </w:rPr>
              <w:t xml:space="preserve"> for recycling services include: White Bear Lake, Lauderdale, Falcon Heights, and Maplewood.</w:t>
            </w:r>
          </w:p>
          <w:p w:rsidR="00D32A30" w:rsidRPr="00D32A30" w:rsidRDefault="00127EA4" w:rsidP="00D32A30">
            <w:pPr>
              <w:pStyle w:val="bullets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837781">
              <w:rPr>
                <w:sz w:val="23"/>
                <w:szCs w:val="23"/>
              </w:rPr>
              <w:t xml:space="preserve">See </w:t>
            </w:r>
            <w:r w:rsidR="00D32A30" w:rsidRPr="00C86F52">
              <w:rPr>
                <w:sz w:val="23"/>
                <w:szCs w:val="23"/>
                <w:u w:val="single"/>
              </w:rPr>
              <w:t>RFP Scope of Services Framework</w:t>
            </w:r>
            <w:r w:rsidRPr="00C86F52">
              <w:rPr>
                <w:sz w:val="23"/>
                <w:szCs w:val="23"/>
              </w:rPr>
              <w:t>: Residential Recycling</w:t>
            </w:r>
            <w:r w:rsidR="00D32A30">
              <w:rPr>
                <w:sz w:val="23"/>
                <w:szCs w:val="23"/>
              </w:rPr>
              <w:t>.</w:t>
            </w:r>
          </w:p>
        </w:tc>
      </w:tr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30" w:rsidRPr="00D32A30" w:rsidRDefault="00D32A30" w:rsidP="00DB5C22">
            <w:pPr>
              <w:pStyle w:val="bullets1"/>
              <w:numPr>
                <w:ilvl w:val="0"/>
                <w:numId w:val="0"/>
              </w:numPr>
              <w:ind w:left="720"/>
            </w:pPr>
          </w:p>
          <w:p w:rsidR="00DB5C22" w:rsidRPr="00E12AE6" w:rsidRDefault="00DB5C22" w:rsidP="00DB5C22">
            <w:pPr>
              <w:pStyle w:val="bullets1"/>
              <w:rPr>
                <w:b/>
              </w:rPr>
            </w:pPr>
            <w:r w:rsidRPr="00E12AE6">
              <w:rPr>
                <w:b/>
              </w:rPr>
              <w:t>City</w:t>
            </w:r>
            <w:r>
              <w:rPr>
                <w:b/>
              </w:rPr>
              <w:t xml:space="preserve"> Contracting for Multi</w:t>
            </w:r>
            <w:r w:rsidR="00EC4DD9">
              <w:rPr>
                <w:b/>
              </w:rPr>
              <w:t>ple</w:t>
            </w:r>
            <w:r>
              <w:rPr>
                <w:b/>
              </w:rPr>
              <w:t>-Material</w:t>
            </w:r>
            <w:r w:rsidR="00EC4DD9">
              <w:rPr>
                <w:b/>
              </w:rPr>
              <w:t>s</w:t>
            </w:r>
            <w:r>
              <w:rPr>
                <w:b/>
              </w:rPr>
              <w:t xml:space="preserve"> Collection</w:t>
            </w:r>
            <w:r w:rsidRPr="00E12AE6">
              <w:rPr>
                <w:b/>
              </w:rPr>
              <w:t xml:space="preserve"> via RFP</w:t>
            </w:r>
          </w:p>
          <w:p w:rsidR="00DC03C6" w:rsidRDefault="00DB5C22" w:rsidP="00351CD0">
            <w:pPr>
              <w:pStyle w:val="bullets1"/>
              <w:numPr>
                <w:ilvl w:val="0"/>
                <w:numId w:val="0"/>
              </w:numPr>
              <w:ind w:left="720"/>
              <w:rPr>
                <w:sz w:val="23"/>
                <w:szCs w:val="23"/>
              </w:rPr>
            </w:pPr>
            <w:r w:rsidRPr="00DB5C22">
              <w:rPr>
                <w:i/>
              </w:rPr>
              <w:t xml:space="preserve">Organize city-wide collection of recyclable materials, yard waste and source-separated organic materials (SSO) via a </w:t>
            </w:r>
            <w:r>
              <w:rPr>
                <w:i/>
              </w:rPr>
              <w:t xml:space="preserve">standard </w:t>
            </w:r>
            <w:r w:rsidRPr="00DB5C22">
              <w:rPr>
                <w:i/>
              </w:rPr>
              <w:t>Request for Proposals</w:t>
            </w:r>
            <w:r>
              <w:t xml:space="preserve"> (RFP) </w:t>
            </w:r>
            <w:r w:rsidRPr="00DB5C22">
              <w:t>procurement process.</w:t>
            </w:r>
            <w:r>
              <w:t xml:space="preserve"> </w:t>
            </w:r>
            <w:r w:rsidR="00DC03C6" w:rsidRPr="00DB5C22">
              <w:rPr>
                <w:sz w:val="23"/>
                <w:szCs w:val="23"/>
              </w:rPr>
              <w:t xml:space="preserve">Contracting </w:t>
            </w:r>
            <w:r w:rsidR="00DC03C6" w:rsidRPr="00DB5C22">
              <w:rPr>
                <w:sz w:val="23"/>
                <w:szCs w:val="23"/>
              </w:rPr>
              <w:lastRenderedPageBreak/>
              <w:t xml:space="preserve">for </w:t>
            </w:r>
            <w:r w:rsidR="00127EA4">
              <w:rPr>
                <w:sz w:val="23"/>
                <w:szCs w:val="23"/>
              </w:rPr>
              <w:t xml:space="preserve">such </w:t>
            </w:r>
            <w:r w:rsidR="00DC03C6" w:rsidRPr="00DB5C22">
              <w:rPr>
                <w:sz w:val="23"/>
                <w:szCs w:val="23"/>
              </w:rPr>
              <w:t xml:space="preserve">services does not require that the City use the Organized Collection process cited in MN Stat. 115.A. </w:t>
            </w:r>
            <w:r w:rsidR="00351CD0" w:rsidRPr="00351CD0">
              <w:rPr>
                <w:sz w:val="23"/>
                <w:szCs w:val="23"/>
              </w:rPr>
              <w:t xml:space="preserve">The City can issue a single RFP for recyclables, yard waste and SSO </w:t>
            </w:r>
            <w:r w:rsidR="00351CD0">
              <w:rPr>
                <w:sz w:val="23"/>
                <w:szCs w:val="23"/>
              </w:rPr>
              <w:t xml:space="preserve">collection, </w:t>
            </w:r>
            <w:r w:rsidR="00351CD0" w:rsidRPr="00351CD0">
              <w:rPr>
                <w:sz w:val="23"/>
                <w:szCs w:val="23"/>
              </w:rPr>
              <w:t>processing and</w:t>
            </w:r>
            <w:r w:rsidR="00351CD0">
              <w:rPr>
                <w:sz w:val="23"/>
                <w:szCs w:val="23"/>
              </w:rPr>
              <w:t xml:space="preserve"> marketing -- </w:t>
            </w:r>
            <w:r w:rsidR="00351CD0" w:rsidRPr="00351CD0">
              <w:rPr>
                <w:sz w:val="23"/>
                <w:szCs w:val="23"/>
              </w:rPr>
              <w:t xml:space="preserve">OR </w:t>
            </w:r>
            <w:r w:rsidR="00351CD0">
              <w:rPr>
                <w:sz w:val="23"/>
                <w:szCs w:val="23"/>
              </w:rPr>
              <w:t xml:space="preserve">-- </w:t>
            </w:r>
            <w:r w:rsidR="00351CD0" w:rsidRPr="00351CD0">
              <w:rPr>
                <w:sz w:val="23"/>
                <w:szCs w:val="23"/>
              </w:rPr>
              <w:t>separate RFPs for (1) recyclables collection, (2) yard waste and SSO collection, (3) processing and marketing of recyclables, (4) processing and marketing of yard waste and SSO, or (5) a combination of (1) - (4).</w:t>
            </w:r>
          </w:p>
          <w:p w:rsidR="00127EA4" w:rsidRPr="00C86F52" w:rsidRDefault="00127EA4" w:rsidP="00127EA4">
            <w:pPr>
              <w:pStyle w:val="bullets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EC4DD9">
              <w:rPr>
                <w:sz w:val="23"/>
                <w:szCs w:val="23"/>
              </w:rPr>
              <w:t xml:space="preserve">See </w:t>
            </w:r>
            <w:r w:rsidRPr="00C86F52">
              <w:rPr>
                <w:sz w:val="23"/>
                <w:szCs w:val="23"/>
                <w:u w:val="single"/>
              </w:rPr>
              <w:t>RFP Scope of Services Framework</w:t>
            </w:r>
            <w:r w:rsidRPr="00C86F52">
              <w:rPr>
                <w:sz w:val="23"/>
                <w:szCs w:val="23"/>
              </w:rPr>
              <w:t xml:space="preserve">: Residential Collection of Recycling, Yard Waste and Source Separated Organic Materials </w:t>
            </w:r>
          </w:p>
          <w:p w:rsidR="00127EA4" w:rsidRPr="00DB5C22" w:rsidRDefault="00127EA4" w:rsidP="00127EA4">
            <w:pPr>
              <w:pStyle w:val="bullets1"/>
              <w:numPr>
                <w:ilvl w:val="0"/>
                <w:numId w:val="0"/>
              </w:numPr>
              <w:rPr>
                <w:sz w:val="23"/>
                <w:szCs w:val="23"/>
              </w:rPr>
            </w:pPr>
          </w:p>
        </w:tc>
      </w:tr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C03C6" w:rsidRPr="00C86F52" w:rsidRDefault="00D30635" w:rsidP="006B3FB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Best Collection Practices</w:t>
            </w:r>
          </w:p>
        </w:tc>
      </w:tr>
      <w:tr w:rsidR="00DC03C6" w:rsidRPr="008439CE" w:rsidTr="00A076C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D0" w:rsidRPr="00351CD0" w:rsidRDefault="00351CD0" w:rsidP="00351CD0">
            <w:pPr>
              <w:pStyle w:val="bullets1"/>
              <w:numPr>
                <w:ilvl w:val="0"/>
                <w:numId w:val="0"/>
              </w:numPr>
              <w:ind w:left="720"/>
            </w:pPr>
          </w:p>
          <w:p w:rsidR="00B711EC" w:rsidRPr="00B711EC" w:rsidRDefault="00351CD0" w:rsidP="00B711EC">
            <w:pPr>
              <w:pStyle w:val="bullets1"/>
            </w:pPr>
            <w:r>
              <w:rPr>
                <w:b/>
              </w:rPr>
              <w:t>City Contracting</w:t>
            </w:r>
            <w:r w:rsidR="00E66E6B">
              <w:rPr>
                <w:b/>
              </w:rPr>
              <w:t xml:space="preserve"> for Trash &amp; Multi</w:t>
            </w:r>
            <w:r w:rsidR="00833500">
              <w:rPr>
                <w:b/>
              </w:rPr>
              <w:t>ple</w:t>
            </w:r>
            <w:r w:rsidR="00E66E6B">
              <w:rPr>
                <w:b/>
              </w:rPr>
              <w:t>-Materials, Option One: Hauler Agreement</w:t>
            </w:r>
          </w:p>
          <w:p w:rsidR="00B711EC" w:rsidRDefault="00C600DC" w:rsidP="00B711EC">
            <w:pPr>
              <w:pStyle w:val="bullets1"/>
              <w:numPr>
                <w:ilvl w:val="0"/>
                <w:numId w:val="0"/>
              </w:numPr>
              <w:ind w:left="720"/>
            </w:pPr>
            <w:r w:rsidRPr="00C600DC">
              <w:rPr>
                <w:i/>
              </w:rPr>
              <w:t>Negotiate</w:t>
            </w:r>
            <w:r w:rsidR="00A076CA" w:rsidRPr="00C600DC">
              <w:rPr>
                <w:i/>
              </w:rPr>
              <w:t xml:space="preserve"> and agree with existing </w:t>
            </w:r>
            <w:r w:rsidR="00806040">
              <w:rPr>
                <w:i/>
              </w:rPr>
              <w:t xml:space="preserve">licensed </w:t>
            </w:r>
            <w:r w:rsidR="00A076CA" w:rsidRPr="00C600DC">
              <w:rPr>
                <w:i/>
              </w:rPr>
              <w:t>haulers</w:t>
            </w:r>
            <w:r w:rsidR="00A076CA" w:rsidRPr="00A076CA">
              <w:t xml:space="preserve"> </w:t>
            </w:r>
            <w:r>
              <w:t xml:space="preserve">for </w:t>
            </w:r>
            <w:r w:rsidR="00A076CA" w:rsidRPr="00A076CA">
              <w:t xml:space="preserve">city-wide collection of </w:t>
            </w:r>
            <w:r w:rsidR="00A076CA">
              <w:t xml:space="preserve">trash, bulky waste, </w:t>
            </w:r>
            <w:r w:rsidR="00A076CA" w:rsidRPr="00A076CA">
              <w:t>recyclable materials, yard waste and source-separated organic materials (SSO)</w:t>
            </w:r>
            <w:r>
              <w:t xml:space="preserve">. </w:t>
            </w:r>
            <w:r w:rsidRPr="00C600DC">
              <w:t>Unless the City has previously contracted for these services, the City must comply with</w:t>
            </w:r>
            <w:r w:rsidR="00806040">
              <w:t xml:space="preserve"> the 60-day hauler negotiation provisions of</w:t>
            </w:r>
            <w:r w:rsidRPr="00C600DC">
              <w:t xml:space="preserve"> M.S. 115A.94,</w:t>
            </w:r>
            <w:r>
              <w:t xml:space="preserve"> </w:t>
            </w:r>
            <w:proofErr w:type="spellStart"/>
            <w:r>
              <w:t>Subd</w:t>
            </w:r>
            <w:proofErr w:type="spellEnd"/>
            <w:r>
              <w:t xml:space="preserve">. 4d. </w:t>
            </w:r>
          </w:p>
          <w:p w:rsidR="00A076CA" w:rsidRPr="00C86F52" w:rsidRDefault="00355905" w:rsidP="00C600DC">
            <w:pPr>
              <w:pStyle w:val="bullets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833500">
              <w:rPr>
                <w:sz w:val="23"/>
                <w:szCs w:val="23"/>
              </w:rPr>
              <w:t>See</w:t>
            </w:r>
            <w:r w:rsidR="00C600DC" w:rsidRPr="00833500">
              <w:rPr>
                <w:sz w:val="23"/>
                <w:szCs w:val="23"/>
              </w:rPr>
              <w:t xml:space="preserve"> </w:t>
            </w:r>
            <w:r w:rsidR="00C600DC" w:rsidRPr="00C86F52">
              <w:rPr>
                <w:sz w:val="23"/>
                <w:szCs w:val="23"/>
                <w:u w:val="single"/>
              </w:rPr>
              <w:t>Organized Collection Process Flow Chart</w:t>
            </w:r>
            <w:r w:rsidR="00C600DC" w:rsidRPr="00C86F52">
              <w:rPr>
                <w:sz w:val="23"/>
                <w:szCs w:val="23"/>
              </w:rPr>
              <w:t xml:space="preserve">. </w:t>
            </w:r>
          </w:p>
          <w:p w:rsidR="00355905" w:rsidRDefault="00355905" w:rsidP="00A076CA">
            <w:pPr>
              <w:pStyle w:val="bullets1"/>
              <w:numPr>
                <w:ilvl w:val="0"/>
                <w:numId w:val="0"/>
              </w:numPr>
              <w:rPr>
                <w:sz w:val="23"/>
                <w:szCs w:val="23"/>
              </w:rPr>
            </w:pPr>
          </w:p>
          <w:p w:rsidR="00355905" w:rsidRPr="00B711EC" w:rsidRDefault="00355905" w:rsidP="00355905">
            <w:pPr>
              <w:pStyle w:val="bullets1"/>
            </w:pPr>
            <w:r>
              <w:rPr>
                <w:b/>
              </w:rPr>
              <w:t>City Contracting for Trash &amp; Multi-Materials, Option Two: RFP</w:t>
            </w:r>
          </w:p>
          <w:p w:rsidR="00806040" w:rsidRDefault="00A076CA" w:rsidP="00355905">
            <w:pPr>
              <w:pStyle w:val="bullets1"/>
              <w:numPr>
                <w:ilvl w:val="0"/>
                <w:numId w:val="0"/>
              </w:numPr>
              <w:ind w:left="720"/>
              <w:rPr>
                <w:i/>
              </w:rPr>
            </w:pPr>
            <w:r w:rsidRPr="00C600DC">
              <w:rPr>
                <w:i/>
              </w:rPr>
              <w:t>Organize city-wide collection of trash, bulky waste, recyclable materials, yard waste and source-separated organic materials (SSO) via a standard Request for Proposals (RFP) procurement process</w:t>
            </w:r>
            <w:r w:rsidR="00C600DC" w:rsidRPr="00C600DC">
              <w:rPr>
                <w:i/>
              </w:rPr>
              <w:t xml:space="preserve">. </w:t>
            </w:r>
          </w:p>
          <w:p w:rsidR="00806040" w:rsidRDefault="00C600DC" w:rsidP="00355905">
            <w:pPr>
              <w:pStyle w:val="bullets1"/>
              <w:numPr>
                <w:ilvl w:val="0"/>
                <w:numId w:val="0"/>
              </w:numPr>
              <w:ind w:left="720"/>
            </w:pPr>
            <w:r>
              <w:t>Cities that have previously contracted for these services may, under Minnesota law, use an RFP p</w:t>
            </w:r>
            <w:r w:rsidR="00806040">
              <w:t xml:space="preserve">rocess. </w:t>
            </w:r>
          </w:p>
          <w:p w:rsidR="00355905" w:rsidRDefault="00806040" w:rsidP="00355905">
            <w:pPr>
              <w:pStyle w:val="bullets1"/>
              <w:numPr>
                <w:ilvl w:val="0"/>
                <w:numId w:val="0"/>
              </w:numPr>
              <w:ind w:left="720"/>
            </w:pPr>
            <w:r>
              <w:t xml:space="preserve">Cities that have NOT previously contracted for these services AND THAT HAVE negotiated for 60 days or more with existing licensed haulers under </w:t>
            </w:r>
            <w:r w:rsidRPr="00806040">
              <w:t xml:space="preserve">M.S. 115A.94, </w:t>
            </w:r>
            <w:proofErr w:type="spellStart"/>
            <w:r w:rsidRPr="00806040">
              <w:t>Subd</w:t>
            </w:r>
            <w:proofErr w:type="spellEnd"/>
            <w:r w:rsidRPr="00806040">
              <w:t xml:space="preserve">. 4d </w:t>
            </w:r>
            <w:r>
              <w:t>may also contrac</w:t>
            </w:r>
            <w:r w:rsidR="007C24EA">
              <w:t xml:space="preserve">t for trash and multi-materials collection </w:t>
            </w:r>
            <w:r>
              <w:t>via an RFP process</w:t>
            </w:r>
            <w:r w:rsidR="007C24EA">
              <w:t>, resulting in selection of one contractor or a consortium of contractors</w:t>
            </w:r>
            <w:r w:rsidR="00DC6B67">
              <w:t xml:space="preserve"> </w:t>
            </w:r>
            <w:r w:rsidR="00DC6B67" w:rsidRPr="00DC6B67">
              <w:t>(preferred by some cities so as</w:t>
            </w:r>
            <w:r w:rsidR="00DC6B67">
              <w:t xml:space="preserve"> to support local businesses and</w:t>
            </w:r>
            <w:r w:rsidR="00DC6B67" w:rsidRPr="00DC6B67">
              <w:t xml:space="preserve"> hauler competitive innovation).</w:t>
            </w:r>
          </w:p>
          <w:p w:rsidR="00806040" w:rsidRPr="00C86F52" w:rsidRDefault="00806040" w:rsidP="00806040">
            <w:pPr>
              <w:pStyle w:val="bullets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833500">
              <w:rPr>
                <w:sz w:val="23"/>
                <w:szCs w:val="23"/>
              </w:rPr>
              <w:t xml:space="preserve">See </w:t>
            </w:r>
            <w:r w:rsidRPr="00C86F52">
              <w:rPr>
                <w:sz w:val="23"/>
                <w:szCs w:val="23"/>
                <w:u w:val="single"/>
              </w:rPr>
              <w:t>Organized Collection Process Flow Chart</w:t>
            </w:r>
            <w:r w:rsidRPr="00C86F52">
              <w:rPr>
                <w:sz w:val="23"/>
                <w:szCs w:val="23"/>
              </w:rPr>
              <w:t xml:space="preserve">. </w:t>
            </w:r>
          </w:p>
          <w:p w:rsidR="003032C2" w:rsidRPr="00C86F52" w:rsidRDefault="003032C2" w:rsidP="003032C2">
            <w:pPr>
              <w:pStyle w:val="bullets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833500">
              <w:rPr>
                <w:sz w:val="23"/>
                <w:szCs w:val="23"/>
              </w:rPr>
              <w:t xml:space="preserve">See </w:t>
            </w:r>
            <w:proofErr w:type="gramStart"/>
            <w:r w:rsidRPr="00833500">
              <w:rPr>
                <w:sz w:val="23"/>
                <w:szCs w:val="23"/>
              </w:rPr>
              <w:t xml:space="preserve">two </w:t>
            </w:r>
            <w:r w:rsidRPr="00C86F52">
              <w:rPr>
                <w:sz w:val="23"/>
                <w:szCs w:val="23"/>
                <w:u w:val="single"/>
              </w:rPr>
              <w:t>RFP Scope of Services Frameworks</w:t>
            </w:r>
            <w:proofErr w:type="gramEnd"/>
            <w:r w:rsidRPr="00C86F52">
              <w:rPr>
                <w:sz w:val="23"/>
                <w:szCs w:val="23"/>
              </w:rPr>
              <w:t>: (1) Solid Waste Collection Services and (2) Residential Collection of Recycling, Yard Waste and Source Separated Organic Materials</w:t>
            </w:r>
            <w:r w:rsidR="00833500">
              <w:rPr>
                <w:sz w:val="23"/>
                <w:szCs w:val="23"/>
              </w:rPr>
              <w:t>.</w:t>
            </w:r>
            <w:r w:rsidRPr="00C86F52">
              <w:rPr>
                <w:sz w:val="23"/>
                <w:szCs w:val="23"/>
              </w:rPr>
              <w:t xml:space="preserve"> </w:t>
            </w:r>
          </w:p>
          <w:p w:rsidR="00A076CA" w:rsidRPr="003032C2" w:rsidRDefault="00A076CA" w:rsidP="003032C2">
            <w:pPr>
              <w:pStyle w:val="bullets1"/>
              <w:numPr>
                <w:ilvl w:val="0"/>
                <w:numId w:val="0"/>
              </w:numPr>
              <w:ind w:left="720"/>
              <w:rPr>
                <w:sz w:val="23"/>
                <w:szCs w:val="23"/>
              </w:rPr>
            </w:pPr>
          </w:p>
        </w:tc>
      </w:tr>
    </w:tbl>
    <w:p w:rsidR="00CA0C0B" w:rsidRDefault="00CA0C0B"/>
    <w:p w:rsidR="00A076CA" w:rsidRDefault="00A076CA"/>
    <w:p w:rsidR="00A076CA" w:rsidRDefault="00A076CA"/>
    <w:p w:rsidR="00A076CA" w:rsidRDefault="00A076CA"/>
    <w:p w:rsidR="00A076CA" w:rsidRDefault="00A076CA"/>
    <w:p w:rsidR="00A076CA" w:rsidRDefault="00A076CA"/>
    <w:p w:rsidR="00A076CA" w:rsidRDefault="00A076CA"/>
    <w:p w:rsidR="00A076CA" w:rsidRDefault="00414D93">
      <w:proofErr w:type="gramStart"/>
      <w:r>
        <w:t>D</w:t>
      </w:r>
      <w:r w:rsidR="00A076CA">
        <w:t xml:space="preserve">eveloped by foth.com of Lake Elmo, MN </w:t>
      </w:r>
      <w:r w:rsidR="00A076CA" w:rsidRPr="00A076CA">
        <w:t xml:space="preserve">for </w:t>
      </w:r>
      <w:r w:rsidR="00A076CA">
        <w:t xml:space="preserve">MPCA and </w:t>
      </w:r>
      <w:r w:rsidR="00A076CA" w:rsidRPr="00A076CA">
        <w:t xml:space="preserve">MN </w:t>
      </w:r>
      <w:proofErr w:type="spellStart"/>
      <w:r w:rsidR="00A076CA" w:rsidRPr="00A076CA">
        <w:t>GreenStep</w:t>
      </w:r>
      <w:proofErr w:type="spellEnd"/>
      <w:r w:rsidR="00A076CA" w:rsidRPr="00A076CA">
        <w:t xml:space="preserve"> Cities</w:t>
      </w:r>
      <w:r w:rsidR="00A076CA">
        <w:t>.</w:t>
      </w:r>
      <w:proofErr w:type="gramEnd"/>
      <w:r w:rsidR="00A076CA">
        <w:t xml:space="preserve"> Comments welcomed via </w:t>
      </w:r>
      <w:hyperlink r:id="rId9" w:history="1">
        <w:r w:rsidR="00A076CA" w:rsidRPr="00360CBB">
          <w:rPr>
            <w:rStyle w:val="Hyperlink"/>
          </w:rPr>
          <w:t>http://greenstep.pca.state.mn.us/contact.cfm</w:t>
        </w:r>
      </w:hyperlink>
      <w:r w:rsidR="00A076CA">
        <w:t xml:space="preserve"> </w:t>
      </w:r>
    </w:p>
    <w:sectPr w:rsidR="00A076CA" w:rsidSect="007952FA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D2" w:rsidRDefault="00A919B9">
      <w:pPr>
        <w:spacing w:after="0" w:line="240" w:lineRule="auto"/>
      </w:pPr>
      <w:r>
        <w:separator/>
      </w:r>
    </w:p>
  </w:endnote>
  <w:endnote w:type="continuationSeparator" w:id="0">
    <w:p w:rsidR="005E25D2" w:rsidRDefault="00A9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34" w:rsidRDefault="003B4934" w:rsidP="00872D59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Collection BMPs</w:t>
    </w:r>
    <w:r w:rsidR="00414D93">
      <w:rPr>
        <w:rFonts w:ascii="Times New Roman" w:hAnsi="Times New Roman" w:cs="Times New Roman"/>
        <w:sz w:val="18"/>
        <w:szCs w:val="18"/>
      </w:rPr>
      <w:t xml:space="preserve"> (Oct. 2015)</w:t>
    </w:r>
  </w:p>
  <w:p w:rsidR="00744FBB" w:rsidRPr="002F6EDD" w:rsidRDefault="00D30635" w:rsidP="00872D59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F46EE9">
      <w:rPr>
        <w:rFonts w:ascii="Times New Roman" w:hAnsi="Times New Roman" w:cs="Times New Roman"/>
        <w:noProof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fldChar w:fldCharType="end"/>
    </w:r>
  </w:p>
  <w:p w:rsidR="00744FBB" w:rsidRPr="002F6EDD" w:rsidRDefault="00F46EE9" w:rsidP="002F6EDD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AD" w:rsidRPr="002F6EDD" w:rsidRDefault="00D30635" w:rsidP="00692FAD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fldChar w:fldCharType="end"/>
    </w:r>
  </w:p>
  <w:p w:rsidR="00692FAD" w:rsidRDefault="00D30635" w:rsidP="00692FAD">
    <w:pPr>
      <w:pStyle w:val="Footer"/>
    </w:pPr>
    <w:r w:rsidRPr="002F6EDD">
      <w:rPr>
        <w:rFonts w:ascii="Times New Roman" w:hAnsi="Times New Roman" w:cs="Times New Roman"/>
        <w:sz w:val="18"/>
        <w:szCs w:val="18"/>
      </w:rPr>
      <w:fldChar w:fldCharType="begin"/>
    </w:r>
    <w:r w:rsidRPr="002F6EDD">
      <w:rPr>
        <w:rFonts w:ascii="Times New Roman" w:hAnsi="Times New Roman" w:cs="Times New Roman"/>
        <w:sz w:val="18"/>
        <w:szCs w:val="18"/>
      </w:rPr>
      <w:instrText xml:space="preserve"> FILENAME  \p  \* MERGEFORMAT </w:instrText>
    </w:r>
    <w:r w:rsidRPr="002F6EDD">
      <w:rPr>
        <w:rFonts w:ascii="Times New Roman" w:hAnsi="Times New Roman" w:cs="Times New Roman"/>
        <w:sz w:val="18"/>
        <w:szCs w:val="18"/>
      </w:rPr>
      <w:fldChar w:fldCharType="separate"/>
    </w:r>
    <w:r w:rsidR="00F46EE9">
      <w:rPr>
        <w:rFonts w:ascii="Times New Roman" w:hAnsi="Times New Roman" w:cs="Times New Roman"/>
        <w:noProof/>
        <w:sz w:val="18"/>
        <w:szCs w:val="18"/>
      </w:rPr>
      <w:t>H:\Public\Foth\Collection BMPs.docx</w:t>
    </w:r>
    <w:r w:rsidRPr="002F6EDD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D2" w:rsidRDefault="00A919B9">
      <w:pPr>
        <w:spacing w:after="0" w:line="240" w:lineRule="auto"/>
      </w:pPr>
      <w:r>
        <w:separator/>
      </w:r>
    </w:p>
  </w:footnote>
  <w:footnote w:type="continuationSeparator" w:id="0">
    <w:p w:rsidR="005E25D2" w:rsidRDefault="00A9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733"/>
    <w:multiLevelType w:val="hybridMultilevel"/>
    <w:tmpl w:val="A932635A"/>
    <w:lvl w:ilvl="0" w:tplc="31668A8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73089C6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A5045"/>
    <w:multiLevelType w:val="hybridMultilevel"/>
    <w:tmpl w:val="5B1E0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B388B"/>
    <w:multiLevelType w:val="hybridMultilevel"/>
    <w:tmpl w:val="3224F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A4496"/>
    <w:multiLevelType w:val="hybridMultilevel"/>
    <w:tmpl w:val="6C3232E0"/>
    <w:lvl w:ilvl="0" w:tplc="00ECD3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F4037"/>
    <w:multiLevelType w:val="hybridMultilevel"/>
    <w:tmpl w:val="9F2499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F7711A"/>
    <w:multiLevelType w:val="hybridMultilevel"/>
    <w:tmpl w:val="B02C0B50"/>
    <w:lvl w:ilvl="0" w:tplc="00ECD3DE">
      <w:start w:val="1"/>
      <w:numFmt w:val="bullet"/>
      <w:pStyle w:val="bullets1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00246"/>
    <w:multiLevelType w:val="hybridMultilevel"/>
    <w:tmpl w:val="84540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B55CA"/>
    <w:multiLevelType w:val="hybridMultilevel"/>
    <w:tmpl w:val="E264A448"/>
    <w:lvl w:ilvl="0" w:tplc="F73089C6">
      <w:start w:val="1"/>
      <w:numFmt w:val="bullet"/>
      <w:lvlText w:val=""/>
      <w:lvlJc w:val="left"/>
      <w:pPr>
        <w:ind w:left="1501" w:hanging="360"/>
      </w:pPr>
      <w:rPr>
        <w:rFonts w:ascii="Wingdings 3" w:hAnsi="Wingdings 3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C6"/>
    <w:rsid w:val="000C2BFE"/>
    <w:rsid w:val="00127EA4"/>
    <w:rsid w:val="001C6834"/>
    <w:rsid w:val="00294BCC"/>
    <w:rsid w:val="003032C2"/>
    <w:rsid w:val="00303F57"/>
    <w:rsid w:val="00305213"/>
    <w:rsid w:val="00351CD0"/>
    <w:rsid w:val="00355905"/>
    <w:rsid w:val="003B4934"/>
    <w:rsid w:val="00414D93"/>
    <w:rsid w:val="004662C3"/>
    <w:rsid w:val="005C7022"/>
    <w:rsid w:val="005E25D2"/>
    <w:rsid w:val="006C3CB2"/>
    <w:rsid w:val="0075613F"/>
    <w:rsid w:val="007952FA"/>
    <w:rsid w:val="007A4746"/>
    <w:rsid w:val="007C24EA"/>
    <w:rsid w:val="00806040"/>
    <w:rsid w:val="0080731B"/>
    <w:rsid w:val="00833500"/>
    <w:rsid w:val="00837781"/>
    <w:rsid w:val="00897573"/>
    <w:rsid w:val="008A235F"/>
    <w:rsid w:val="009246EB"/>
    <w:rsid w:val="009F67C4"/>
    <w:rsid w:val="00A076CA"/>
    <w:rsid w:val="00A919B9"/>
    <w:rsid w:val="00A95F49"/>
    <w:rsid w:val="00B711EC"/>
    <w:rsid w:val="00BC743C"/>
    <w:rsid w:val="00C600DC"/>
    <w:rsid w:val="00C86F52"/>
    <w:rsid w:val="00CA0C0B"/>
    <w:rsid w:val="00CF2260"/>
    <w:rsid w:val="00D30635"/>
    <w:rsid w:val="00D32A30"/>
    <w:rsid w:val="00D34348"/>
    <w:rsid w:val="00DB5C22"/>
    <w:rsid w:val="00DC03C6"/>
    <w:rsid w:val="00DC6B67"/>
    <w:rsid w:val="00E03619"/>
    <w:rsid w:val="00E12AE6"/>
    <w:rsid w:val="00E66E6B"/>
    <w:rsid w:val="00E87E7C"/>
    <w:rsid w:val="00EC4DD9"/>
    <w:rsid w:val="00F46EE9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C03C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C03C6"/>
  </w:style>
  <w:style w:type="paragraph" w:styleId="Footer">
    <w:name w:val="footer"/>
    <w:basedOn w:val="Normal"/>
    <w:link w:val="FooterChar"/>
    <w:uiPriority w:val="99"/>
    <w:unhideWhenUsed/>
    <w:rsid w:val="00DC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C6"/>
  </w:style>
  <w:style w:type="paragraph" w:customStyle="1" w:styleId="bullets1">
    <w:name w:val="bullets1"/>
    <w:basedOn w:val="ListParagraph"/>
    <w:link w:val="bullets1Char"/>
    <w:qFormat/>
    <w:rsid w:val="00B711EC"/>
    <w:pPr>
      <w:numPr>
        <w:numId w:val="5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llets1Char">
    <w:name w:val="bullets1 Char"/>
    <w:basedOn w:val="DefaultParagraphFont"/>
    <w:link w:val="bullets1"/>
    <w:rsid w:val="00B711E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47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34"/>
  </w:style>
  <w:style w:type="paragraph" w:styleId="BalloonText">
    <w:name w:val="Balloon Text"/>
    <w:basedOn w:val="Normal"/>
    <w:link w:val="BalloonTextChar"/>
    <w:uiPriority w:val="99"/>
    <w:semiHidden/>
    <w:unhideWhenUsed/>
    <w:rsid w:val="00F4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C03C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C03C6"/>
  </w:style>
  <w:style w:type="paragraph" w:styleId="Footer">
    <w:name w:val="footer"/>
    <w:basedOn w:val="Normal"/>
    <w:link w:val="FooterChar"/>
    <w:uiPriority w:val="99"/>
    <w:unhideWhenUsed/>
    <w:rsid w:val="00DC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C6"/>
  </w:style>
  <w:style w:type="paragraph" w:customStyle="1" w:styleId="bullets1">
    <w:name w:val="bullets1"/>
    <w:basedOn w:val="ListParagraph"/>
    <w:link w:val="bullets1Char"/>
    <w:qFormat/>
    <w:rsid w:val="00B711EC"/>
    <w:pPr>
      <w:numPr>
        <w:numId w:val="5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llets1Char">
    <w:name w:val="bullets1 Char"/>
    <w:basedOn w:val="DefaultParagraphFont"/>
    <w:link w:val="bullets1"/>
    <w:rsid w:val="00B711E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47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34"/>
  </w:style>
  <w:style w:type="paragraph" w:styleId="BalloonText">
    <w:name w:val="Balloon Text"/>
    <w:basedOn w:val="Normal"/>
    <w:link w:val="BalloonTextChar"/>
    <w:uiPriority w:val="99"/>
    <w:semiHidden/>
    <w:unhideWhenUsed/>
    <w:rsid w:val="00F4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GreenStep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reenstep.pca.state.mn.us/contac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Philipp Muessig, MPCA</Manager>
  <Company>Foth Companies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Solid Waste Collection BMPs</dc:title>
  <dc:subject>city solid waste</dc:subject>
  <dc:creator>Susan Young;Philipp Muessig</dc:creator>
  <cp:keywords>GreenStep Cities best management practices</cp:keywords>
  <cp:lastModifiedBy>Muessig, Philipp</cp:lastModifiedBy>
  <cp:revision>6</cp:revision>
  <cp:lastPrinted>2015-11-04T16:51:00Z</cp:lastPrinted>
  <dcterms:created xsi:type="dcterms:W3CDTF">2015-11-02T17:09:00Z</dcterms:created>
  <dcterms:modified xsi:type="dcterms:W3CDTF">2015-11-04T16:51:00Z</dcterms:modified>
</cp:coreProperties>
</file>