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21" w:rsidRDefault="00FE76F4" w:rsidP="00FE76F4">
      <w:pPr>
        <w:spacing w:line="240" w:lineRule="auto"/>
        <w:contextualSpacing/>
        <w:jc w:val="center"/>
        <w:rPr>
          <w:rFonts w:ascii="Times New Roman" w:hAnsi="Times New Roman" w:cs="Times New Roman"/>
          <w:b/>
          <w:sz w:val="28"/>
          <w:szCs w:val="28"/>
        </w:rPr>
      </w:pPr>
      <w:bookmarkStart w:id="0" w:name="_GoBack"/>
      <w:bookmarkEnd w:id="0"/>
      <w:r w:rsidRPr="00FE76F4">
        <w:rPr>
          <w:rFonts w:ascii="Times New Roman" w:hAnsi="Times New Roman" w:cs="Times New Roman"/>
          <w:b/>
          <w:sz w:val="28"/>
          <w:szCs w:val="28"/>
        </w:rPr>
        <w:t xml:space="preserve">City Solid Waste Ordinance and Licensing </w:t>
      </w:r>
    </w:p>
    <w:p w:rsidR="00D249DA" w:rsidRPr="00FE76F4" w:rsidRDefault="00F67DFA" w:rsidP="00FE76F4">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Best Management Practice Options</w:t>
      </w:r>
    </w:p>
    <w:p w:rsidR="00FE76F4" w:rsidRPr="00D249DA" w:rsidRDefault="00FE76F4" w:rsidP="008D043F">
      <w:pPr>
        <w:spacing w:line="240" w:lineRule="auto"/>
        <w:contextualSpacing/>
        <w:rPr>
          <w:rFonts w:ascii="Times New Roman" w:hAnsi="Times New Roman" w:cs="Times New Roman"/>
          <w:sz w:val="24"/>
          <w:szCs w:val="24"/>
        </w:rPr>
      </w:pPr>
    </w:p>
    <w:tbl>
      <w:tblPr>
        <w:tblStyle w:val="TableGrid"/>
        <w:tblW w:w="0" w:type="auto"/>
        <w:tblInd w:w="198" w:type="dxa"/>
        <w:tblLook w:val="04A0" w:firstRow="1" w:lastRow="0" w:firstColumn="1" w:lastColumn="0" w:noHBand="0" w:noVBand="1"/>
      </w:tblPr>
      <w:tblGrid>
        <w:gridCol w:w="10620"/>
      </w:tblGrid>
      <w:tr w:rsidR="008D043F" w:rsidRPr="000C7D4C" w:rsidTr="00351F0F">
        <w:tc>
          <w:tcPr>
            <w:tcW w:w="10620" w:type="dxa"/>
            <w:shd w:val="clear" w:color="auto" w:fill="92D050"/>
          </w:tcPr>
          <w:p w:rsidR="00BB5BC0" w:rsidRDefault="00BB5BC0" w:rsidP="007B7826">
            <w:pPr>
              <w:tabs>
                <w:tab w:val="left" w:pos="5310"/>
              </w:tabs>
              <w:spacing w:before="240" w:after="0" w:line="240" w:lineRule="auto"/>
              <w:rPr>
                <w:rFonts w:ascii="Times New Roman" w:hAnsi="Times New Roman" w:cs="Times New Roman"/>
                <w:b/>
                <w:sz w:val="24"/>
                <w:szCs w:val="24"/>
              </w:rPr>
            </w:pPr>
            <w:r>
              <w:rPr>
                <w:rFonts w:ascii="Times New Roman" w:hAnsi="Times New Roman" w:cs="Times New Roman"/>
                <w:b/>
                <w:sz w:val="24"/>
                <w:szCs w:val="24"/>
              </w:rPr>
              <w:t>Good</w:t>
            </w:r>
            <w:r w:rsidR="008D043F" w:rsidRPr="000C7D4C">
              <w:rPr>
                <w:rFonts w:ascii="Times New Roman" w:hAnsi="Times New Roman" w:cs="Times New Roman"/>
                <w:b/>
                <w:sz w:val="24"/>
                <w:szCs w:val="24"/>
              </w:rPr>
              <w:t xml:space="preserve"> </w:t>
            </w:r>
            <w:r w:rsidR="007230E0">
              <w:rPr>
                <w:rFonts w:ascii="Times New Roman" w:hAnsi="Times New Roman" w:cs="Times New Roman"/>
                <w:b/>
                <w:sz w:val="24"/>
                <w:szCs w:val="24"/>
              </w:rPr>
              <w:t>Ordinance/</w:t>
            </w:r>
            <w:r w:rsidR="008D043F" w:rsidRPr="000C7D4C">
              <w:rPr>
                <w:rFonts w:ascii="Times New Roman" w:hAnsi="Times New Roman" w:cs="Times New Roman"/>
                <w:b/>
                <w:sz w:val="24"/>
                <w:szCs w:val="24"/>
              </w:rPr>
              <w:t>License</w:t>
            </w:r>
            <w:r>
              <w:rPr>
                <w:rFonts w:ascii="Times New Roman" w:hAnsi="Times New Roman" w:cs="Times New Roman"/>
                <w:b/>
                <w:sz w:val="24"/>
                <w:szCs w:val="24"/>
              </w:rPr>
              <w:t xml:space="preserve"> Practices</w:t>
            </w:r>
            <w:r w:rsidR="007B7826">
              <w:rPr>
                <w:rFonts w:ascii="Times New Roman" w:hAnsi="Times New Roman" w:cs="Times New Roman"/>
                <w:b/>
                <w:sz w:val="24"/>
                <w:szCs w:val="24"/>
              </w:rPr>
              <w:tab/>
            </w:r>
          </w:p>
          <w:p w:rsidR="00BB5BC0" w:rsidRDefault="00FE76F4" w:rsidP="00F875B5">
            <w:pPr>
              <w:pStyle w:val="ListParagraph"/>
              <w:numPr>
                <w:ilvl w:val="0"/>
                <w:numId w:val="6"/>
              </w:numPr>
              <w:spacing w:after="0" w:line="240" w:lineRule="auto"/>
              <w:rPr>
                <w:rFonts w:ascii="Times New Roman" w:hAnsi="Times New Roman" w:cs="Times New Roman"/>
                <w:sz w:val="24"/>
                <w:szCs w:val="24"/>
              </w:rPr>
            </w:pPr>
            <w:r w:rsidRPr="007B7826">
              <w:rPr>
                <w:rFonts w:ascii="Times New Roman" w:hAnsi="Times New Roman" w:cs="Times New Roman"/>
                <w:sz w:val="24"/>
                <w:szCs w:val="24"/>
              </w:rPr>
              <w:t>S</w:t>
            </w:r>
            <w:r w:rsidR="00BB5BC0" w:rsidRPr="007B7826">
              <w:rPr>
                <w:rFonts w:ascii="Times New Roman" w:hAnsi="Times New Roman" w:cs="Times New Roman"/>
                <w:sz w:val="24"/>
                <w:szCs w:val="24"/>
              </w:rPr>
              <w:t xml:space="preserve">ee </w:t>
            </w:r>
            <w:r w:rsidR="007230E0" w:rsidRPr="007B7826">
              <w:rPr>
                <w:rFonts w:ascii="Times New Roman" w:hAnsi="Times New Roman" w:cs="Times New Roman"/>
                <w:sz w:val="24"/>
                <w:szCs w:val="24"/>
              </w:rPr>
              <w:t xml:space="preserve">the </w:t>
            </w:r>
            <w:r w:rsidRPr="0063368F">
              <w:rPr>
                <w:rFonts w:ascii="Times New Roman" w:hAnsi="Times New Roman" w:cs="Times New Roman"/>
                <w:sz w:val="24"/>
                <w:szCs w:val="24"/>
                <w:u w:val="single"/>
              </w:rPr>
              <w:t xml:space="preserve">Good </w:t>
            </w:r>
            <w:r w:rsidR="007230E0" w:rsidRPr="0063368F">
              <w:rPr>
                <w:rFonts w:ascii="Times New Roman" w:hAnsi="Times New Roman" w:cs="Times New Roman"/>
                <w:sz w:val="24"/>
                <w:szCs w:val="24"/>
                <w:u w:val="single"/>
              </w:rPr>
              <w:t xml:space="preserve">License </w:t>
            </w:r>
            <w:r w:rsidR="00BB5BC0" w:rsidRPr="0063368F">
              <w:rPr>
                <w:rFonts w:ascii="Times New Roman" w:hAnsi="Times New Roman" w:cs="Times New Roman"/>
                <w:sz w:val="24"/>
                <w:szCs w:val="24"/>
                <w:u w:val="single"/>
              </w:rPr>
              <w:t>Template</w:t>
            </w:r>
            <w:r w:rsidRPr="007B7826">
              <w:rPr>
                <w:rFonts w:ascii="Times New Roman" w:hAnsi="Times New Roman" w:cs="Times New Roman"/>
                <w:sz w:val="24"/>
                <w:szCs w:val="24"/>
              </w:rPr>
              <w:t xml:space="preserve"> for legal language that would be adopted by ordina</w:t>
            </w:r>
            <w:r w:rsidR="00F875B5">
              <w:rPr>
                <w:rFonts w:ascii="Times New Roman" w:hAnsi="Times New Roman" w:cs="Times New Roman"/>
                <w:sz w:val="24"/>
                <w:szCs w:val="24"/>
              </w:rPr>
              <w:t xml:space="preserve">nce and included in the license </w:t>
            </w:r>
            <w:r w:rsidR="00F875B5" w:rsidRPr="00F875B5">
              <w:rPr>
                <w:rFonts w:ascii="Times New Roman" w:hAnsi="Times New Roman" w:cs="Times New Roman"/>
                <w:sz w:val="24"/>
                <w:szCs w:val="24"/>
              </w:rPr>
              <w:t>--</w:t>
            </w:r>
            <w:r w:rsidR="00F875B5">
              <w:rPr>
                <w:rFonts w:ascii="Times New Roman" w:hAnsi="Times New Roman" w:cs="Times New Roman"/>
                <w:sz w:val="24"/>
                <w:szCs w:val="24"/>
              </w:rPr>
              <w:t xml:space="preserve"> see </w:t>
            </w:r>
            <w:r w:rsidR="0021207E" w:rsidRPr="00F875B5">
              <w:rPr>
                <w:rFonts w:ascii="Times New Roman" w:hAnsi="Times New Roman" w:cs="Times New Roman"/>
                <w:sz w:val="24"/>
                <w:szCs w:val="24"/>
                <w:u w:val="single"/>
              </w:rPr>
              <w:t xml:space="preserve">Services Agreement </w:t>
            </w:r>
            <w:r w:rsidR="00F875B5" w:rsidRPr="00F875B5">
              <w:rPr>
                <w:rFonts w:ascii="Times New Roman" w:hAnsi="Times New Roman" w:cs="Times New Roman"/>
                <w:sz w:val="24"/>
                <w:szCs w:val="24"/>
                <w:u w:val="single"/>
              </w:rPr>
              <w:t>Template</w:t>
            </w:r>
            <w:r w:rsidR="00F875B5">
              <w:rPr>
                <w:rFonts w:ascii="Times New Roman" w:hAnsi="Times New Roman" w:cs="Times New Roman"/>
                <w:sz w:val="24"/>
                <w:szCs w:val="24"/>
              </w:rPr>
              <w:t xml:space="preserve"> --</w:t>
            </w:r>
            <w:r w:rsidR="00FF46EF" w:rsidRPr="00F875B5">
              <w:rPr>
                <w:rFonts w:ascii="Times New Roman" w:hAnsi="Times New Roman" w:cs="Times New Roman"/>
                <w:sz w:val="24"/>
                <w:szCs w:val="24"/>
              </w:rPr>
              <w:t xml:space="preserve"> </w:t>
            </w:r>
            <w:r w:rsidR="00FF46EF" w:rsidRPr="007B7826">
              <w:rPr>
                <w:rFonts w:ascii="Times New Roman" w:hAnsi="Times New Roman" w:cs="Times New Roman"/>
                <w:sz w:val="24"/>
                <w:szCs w:val="24"/>
              </w:rPr>
              <w:t xml:space="preserve">a city issues to solid waste/recycling </w:t>
            </w:r>
            <w:r w:rsidRPr="007B7826">
              <w:rPr>
                <w:rFonts w:ascii="Times New Roman" w:hAnsi="Times New Roman" w:cs="Times New Roman"/>
                <w:sz w:val="24"/>
                <w:szCs w:val="24"/>
              </w:rPr>
              <w:t>hauler</w:t>
            </w:r>
            <w:r w:rsidR="00FF46EF" w:rsidRPr="007B7826">
              <w:rPr>
                <w:rFonts w:ascii="Times New Roman" w:hAnsi="Times New Roman" w:cs="Times New Roman"/>
                <w:sz w:val="24"/>
                <w:szCs w:val="24"/>
              </w:rPr>
              <w:t>(</w:t>
            </w:r>
            <w:r w:rsidRPr="007B7826">
              <w:rPr>
                <w:rFonts w:ascii="Times New Roman" w:hAnsi="Times New Roman" w:cs="Times New Roman"/>
                <w:sz w:val="24"/>
                <w:szCs w:val="24"/>
              </w:rPr>
              <w:t>s</w:t>
            </w:r>
            <w:r w:rsidR="00FF46EF" w:rsidRPr="007B7826">
              <w:rPr>
                <w:rFonts w:ascii="Times New Roman" w:hAnsi="Times New Roman" w:cs="Times New Roman"/>
                <w:sz w:val="24"/>
                <w:szCs w:val="24"/>
              </w:rPr>
              <w:t>)</w:t>
            </w:r>
            <w:r w:rsidRPr="007B7826">
              <w:rPr>
                <w:rFonts w:ascii="Times New Roman" w:hAnsi="Times New Roman" w:cs="Times New Roman"/>
                <w:sz w:val="24"/>
                <w:szCs w:val="24"/>
              </w:rPr>
              <w:t>.</w:t>
            </w:r>
          </w:p>
          <w:p w:rsidR="006E1E75" w:rsidRDefault="007B7826" w:rsidP="007B782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Cities </w:t>
            </w:r>
            <w:r w:rsidR="006E1E75">
              <w:rPr>
                <w:rFonts w:ascii="Times New Roman" w:hAnsi="Times New Roman" w:cs="Times New Roman"/>
                <w:sz w:val="24"/>
                <w:szCs w:val="24"/>
              </w:rPr>
              <w:t xml:space="preserve">in 2015 that have adopted at least </w:t>
            </w:r>
            <w:r w:rsidR="006E1E75" w:rsidRPr="006E1E75">
              <w:rPr>
                <w:rFonts w:ascii="Times New Roman" w:hAnsi="Times New Roman" w:cs="Times New Roman"/>
                <w:sz w:val="24"/>
                <w:szCs w:val="24"/>
              </w:rPr>
              <w:t xml:space="preserve">portions of </w:t>
            </w:r>
            <w:r w:rsidR="006E1E75">
              <w:rPr>
                <w:rFonts w:ascii="Times New Roman" w:hAnsi="Times New Roman" w:cs="Times New Roman"/>
                <w:sz w:val="24"/>
                <w:szCs w:val="24"/>
              </w:rPr>
              <w:t xml:space="preserve">these practices </w:t>
            </w:r>
            <w:r w:rsidR="006E1E75" w:rsidRPr="006E1E75">
              <w:rPr>
                <w:rFonts w:ascii="Times New Roman" w:hAnsi="Times New Roman" w:cs="Times New Roman"/>
                <w:sz w:val="24"/>
                <w:szCs w:val="24"/>
              </w:rPr>
              <w:t>include: Cottage Grove, Newport, Carver and Chaska.</w:t>
            </w:r>
          </w:p>
          <w:p w:rsidR="00D92ADB" w:rsidRPr="000C7D4C" w:rsidRDefault="00D92ADB" w:rsidP="007B7826">
            <w:pPr>
              <w:pStyle w:val="ListParagraph"/>
              <w:spacing w:after="0" w:line="240" w:lineRule="auto"/>
              <w:rPr>
                <w:rFonts w:ascii="Times New Roman" w:hAnsi="Times New Roman" w:cs="Times New Roman"/>
                <w:b/>
                <w:sz w:val="24"/>
                <w:szCs w:val="24"/>
              </w:rPr>
            </w:pPr>
          </w:p>
        </w:tc>
      </w:tr>
      <w:tr w:rsidR="0033321B" w:rsidRPr="00A27B06" w:rsidTr="00351F0F">
        <w:tc>
          <w:tcPr>
            <w:tcW w:w="10620" w:type="dxa"/>
          </w:tcPr>
          <w:p w:rsidR="0033321B" w:rsidRDefault="0033321B" w:rsidP="00393D63">
            <w:pPr>
              <w:pStyle w:val="bullets1"/>
              <w:numPr>
                <w:ilvl w:val="0"/>
                <w:numId w:val="0"/>
              </w:numPr>
              <w:ind w:left="450"/>
            </w:pPr>
          </w:p>
          <w:p w:rsidR="0033321B" w:rsidRDefault="0033321B" w:rsidP="00393D63">
            <w:pPr>
              <w:pStyle w:val="bullets1"/>
              <w:rPr>
                <w:b/>
              </w:rPr>
            </w:pPr>
            <w:r>
              <w:rPr>
                <w:b/>
              </w:rPr>
              <w:t>Hauler ordinance/license and enforcement</w:t>
            </w:r>
          </w:p>
          <w:p w:rsidR="0033321B" w:rsidRPr="00A27B06" w:rsidRDefault="0033321B" w:rsidP="00351F0F">
            <w:pPr>
              <w:pStyle w:val="bullets1"/>
              <w:numPr>
                <w:ilvl w:val="0"/>
                <w:numId w:val="0"/>
              </w:numPr>
              <w:ind w:left="720"/>
            </w:pPr>
            <w:r>
              <w:rPr>
                <w:i/>
              </w:rPr>
              <w:t>License all garbage and recycling haulers and p</w:t>
            </w:r>
            <w:r w:rsidRPr="000D7111">
              <w:rPr>
                <w:i/>
              </w:rPr>
              <w:t xml:space="preserve">rovide an administrative fine system </w:t>
            </w:r>
            <w:r w:rsidRPr="0033321B">
              <w:t>for violations</w:t>
            </w:r>
            <w:r w:rsidRPr="00A27B06">
              <w:t xml:space="preserve"> of the ordinance.  </w:t>
            </w:r>
            <w:r>
              <w:t>Administrative fines</w:t>
            </w:r>
            <w:r w:rsidRPr="00A27B06">
              <w:t xml:space="preserve"> been preferred by many cities instead of a misdemeanor-type enforcement system.</w:t>
            </w:r>
          </w:p>
        </w:tc>
      </w:tr>
      <w:tr w:rsidR="008D043F" w:rsidRPr="00A27B06" w:rsidTr="00351F0F">
        <w:tc>
          <w:tcPr>
            <w:tcW w:w="10620" w:type="dxa"/>
          </w:tcPr>
          <w:p w:rsidR="00BB5BC0" w:rsidRDefault="00BB5BC0" w:rsidP="00BB5BC0">
            <w:pPr>
              <w:pStyle w:val="bullets1"/>
              <w:numPr>
                <w:ilvl w:val="0"/>
                <w:numId w:val="0"/>
              </w:numPr>
              <w:ind w:left="450"/>
            </w:pPr>
          </w:p>
          <w:p w:rsidR="00F6188F" w:rsidRDefault="008D043F" w:rsidP="000907C7">
            <w:pPr>
              <w:pStyle w:val="bullets1"/>
              <w:rPr>
                <w:b/>
              </w:rPr>
            </w:pPr>
            <w:r w:rsidRPr="009A1417">
              <w:rPr>
                <w:b/>
              </w:rPr>
              <w:t>Background checks for haulers in the City</w:t>
            </w:r>
          </w:p>
          <w:p w:rsidR="008D043F" w:rsidRPr="00A27B06" w:rsidRDefault="00FE76F4" w:rsidP="007B7826">
            <w:pPr>
              <w:pStyle w:val="bullets1"/>
              <w:numPr>
                <w:ilvl w:val="0"/>
                <w:numId w:val="0"/>
              </w:numPr>
              <w:ind w:left="720"/>
            </w:pPr>
            <w:r w:rsidRPr="00FE76F4">
              <w:rPr>
                <w:i/>
              </w:rPr>
              <w:t>Authorize city police to require hauler and State of MN information</w:t>
            </w:r>
            <w:r>
              <w:t xml:space="preserve">. </w:t>
            </w:r>
            <w:r w:rsidR="008D043F" w:rsidRPr="00A27B06">
              <w:t>This is similar to requirements for “Peddlers” that most cities have on their books.  Solid waste and recycling drivers know where vulnerable adults live, who is on vacation for an extended period of time, and what houses are being built or remodeled.  This information about residents could be used for unlawful purposes.</w:t>
            </w:r>
          </w:p>
        </w:tc>
      </w:tr>
      <w:tr w:rsidR="008D043F" w:rsidRPr="00A27B06" w:rsidTr="00351F0F">
        <w:tc>
          <w:tcPr>
            <w:tcW w:w="10620" w:type="dxa"/>
          </w:tcPr>
          <w:p w:rsidR="0095133B" w:rsidRDefault="0095133B" w:rsidP="0095133B">
            <w:pPr>
              <w:pStyle w:val="bullets1"/>
              <w:numPr>
                <w:ilvl w:val="0"/>
                <w:numId w:val="0"/>
              </w:numPr>
              <w:ind w:left="450"/>
            </w:pPr>
          </w:p>
          <w:p w:rsidR="0095133B" w:rsidRDefault="00CA6510" w:rsidP="008D043F">
            <w:pPr>
              <w:pStyle w:val="bullets1"/>
              <w:rPr>
                <w:b/>
              </w:rPr>
            </w:pPr>
            <w:r>
              <w:rPr>
                <w:b/>
              </w:rPr>
              <w:t>D</w:t>
            </w:r>
            <w:r w:rsidR="0095133B" w:rsidRPr="0095133B">
              <w:rPr>
                <w:b/>
              </w:rPr>
              <w:t>aily hauling districts</w:t>
            </w:r>
          </w:p>
          <w:p w:rsidR="008D043F" w:rsidRPr="00A27B06" w:rsidRDefault="0095133B" w:rsidP="007B7826">
            <w:pPr>
              <w:pStyle w:val="bullets1"/>
              <w:numPr>
                <w:ilvl w:val="0"/>
                <w:numId w:val="0"/>
              </w:numPr>
              <w:ind w:left="720"/>
            </w:pPr>
            <w:r w:rsidRPr="0095133B">
              <w:rPr>
                <w:i/>
              </w:rPr>
              <w:t>K</w:t>
            </w:r>
            <w:r w:rsidR="008D043F" w:rsidRPr="0095133B">
              <w:rPr>
                <w:i/>
              </w:rPr>
              <w:t>eep residential trash and recycling trucks on a particular street only on a specified day</w:t>
            </w:r>
            <w:r w:rsidR="008D043F" w:rsidRPr="00A27B06">
              <w:t xml:space="preserve"> each week, instead of allowing trucks anywhere in the </w:t>
            </w:r>
            <w:r w:rsidR="008D043F">
              <w:t>City</w:t>
            </w:r>
            <w:r w:rsidR="008D043F" w:rsidRPr="00A27B06">
              <w:t xml:space="preserve"> on any day.  This is a benefit to public safety, </w:t>
            </w:r>
            <w:r w:rsidR="00FF46EF">
              <w:t xml:space="preserve">road wear and tear, reduction in noise and neighborhood aesthetics. Garbage carts serviced at the curb would only be put out and in public sight </w:t>
            </w:r>
            <w:r w:rsidR="008D043F" w:rsidRPr="00A27B06">
              <w:t>one day each week.</w:t>
            </w:r>
          </w:p>
        </w:tc>
      </w:tr>
      <w:tr w:rsidR="008D043F" w:rsidRPr="00A27B06" w:rsidTr="00351F0F">
        <w:tc>
          <w:tcPr>
            <w:tcW w:w="10620" w:type="dxa"/>
          </w:tcPr>
          <w:p w:rsidR="0095133B" w:rsidRDefault="0095133B" w:rsidP="0095133B">
            <w:pPr>
              <w:pStyle w:val="bullets1"/>
              <w:numPr>
                <w:ilvl w:val="0"/>
                <w:numId w:val="0"/>
              </w:numPr>
              <w:ind w:left="450"/>
            </w:pPr>
          </w:p>
          <w:p w:rsidR="00891F91" w:rsidRDefault="00891F91" w:rsidP="008D043F">
            <w:pPr>
              <w:pStyle w:val="bullets1"/>
              <w:rPr>
                <w:b/>
              </w:rPr>
            </w:pPr>
            <w:r w:rsidRPr="00891F91">
              <w:rPr>
                <w:b/>
              </w:rPr>
              <w:t>Multi-material collection</w:t>
            </w:r>
          </w:p>
          <w:p w:rsidR="008D043F" w:rsidRPr="00A27B06" w:rsidRDefault="00891F91" w:rsidP="007B7826">
            <w:pPr>
              <w:pStyle w:val="bullets1"/>
              <w:numPr>
                <w:ilvl w:val="0"/>
                <w:numId w:val="0"/>
              </w:numPr>
              <w:ind w:left="720"/>
            </w:pPr>
            <w:r w:rsidRPr="00891F91">
              <w:rPr>
                <w:i/>
              </w:rPr>
              <w:t>Require</w:t>
            </w:r>
            <w:r w:rsidR="008D043F" w:rsidRPr="00891F91">
              <w:rPr>
                <w:i/>
              </w:rPr>
              <w:t xml:space="preserve"> all trash haulers to provide recycling services to</w:t>
            </w:r>
            <w:r w:rsidRPr="00891F91">
              <w:rPr>
                <w:i/>
              </w:rPr>
              <w:t xml:space="preserve"> all trash customers, and allow</w:t>
            </w:r>
            <w:r w:rsidR="008D043F" w:rsidRPr="00891F91">
              <w:rPr>
                <w:i/>
              </w:rPr>
              <w:t xml:space="preserve"> those haulers to also offer Bulky Waste, SSO </w:t>
            </w:r>
            <w:r w:rsidRPr="00891F91">
              <w:rPr>
                <w:i/>
              </w:rPr>
              <w:t xml:space="preserve">(Source-Separated Organics) </w:t>
            </w:r>
            <w:r w:rsidR="008D043F" w:rsidRPr="00891F91">
              <w:rPr>
                <w:i/>
              </w:rPr>
              <w:t>and Yard Waste services to customers</w:t>
            </w:r>
            <w:r>
              <w:t>.  This</w:t>
            </w:r>
            <w:r w:rsidR="008D043F" w:rsidRPr="00A27B06">
              <w:t xml:space="preserve"> does not </w:t>
            </w:r>
            <w:r w:rsidR="008D043F" w:rsidRPr="00A27B06">
              <w:rPr>
                <w:u w:val="single"/>
              </w:rPr>
              <w:t>require</w:t>
            </w:r>
            <w:r w:rsidR="008D043F" w:rsidRPr="00A27B06">
              <w:t xml:space="preserve"> that all haulers offer Bulky Waste, </w:t>
            </w:r>
            <w:r>
              <w:t xml:space="preserve">SSO </w:t>
            </w:r>
            <w:r w:rsidR="008D043F" w:rsidRPr="00A27B06">
              <w:t xml:space="preserve">and Yard Waste services, but </w:t>
            </w:r>
            <w:r>
              <w:t xml:space="preserve">it </w:t>
            </w:r>
            <w:r w:rsidR="008D043F" w:rsidRPr="00A27B06">
              <w:t xml:space="preserve">sets your </w:t>
            </w:r>
            <w:r w:rsidR="008D043F">
              <w:t>City</w:t>
            </w:r>
            <w:r w:rsidR="008D043F" w:rsidRPr="00A27B06">
              <w:t xml:space="preserve"> up for these services as you progress in your solid waste programs. If your City already has organized recycling collection, </w:t>
            </w:r>
            <w:r w:rsidR="007B7826">
              <w:t>the license language in the Good</w:t>
            </w:r>
            <w:r>
              <w:t xml:space="preserve"> template </w:t>
            </w:r>
            <w:r w:rsidR="008D043F" w:rsidRPr="00A27B06">
              <w:t>must be modified.</w:t>
            </w:r>
          </w:p>
        </w:tc>
      </w:tr>
      <w:tr w:rsidR="008D043F" w:rsidRPr="00A27B06" w:rsidTr="00351F0F">
        <w:tc>
          <w:tcPr>
            <w:tcW w:w="10620" w:type="dxa"/>
          </w:tcPr>
          <w:p w:rsidR="004901BC" w:rsidRDefault="004901BC" w:rsidP="004901BC">
            <w:pPr>
              <w:pStyle w:val="bullets1"/>
              <w:numPr>
                <w:ilvl w:val="0"/>
                <w:numId w:val="0"/>
              </w:numPr>
              <w:ind w:left="450" w:hanging="360"/>
            </w:pPr>
          </w:p>
          <w:p w:rsidR="004901BC" w:rsidRDefault="004901BC" w:rsidP="008D043F">
            <w:pPr>
              <w:pStyle w:val="bullets1"/>
              <w:rPr>
                <w:b/>
              </w:rPr>
            </w:pPr>
            <w:r w:rsidRPr="004901BC">
              <w:rPr>
                <w:b/>
              </w:rPr>
              <w:t>Volume-based pricing</w:t>
            </w:r>
          </w:p>
          <w:p w:rsidR="00E15FD6" w:rsidRPr="00A27B06" w:rsidRDefault="00745C79" w:rsidP="00A76915">
            <w:pPr>
              <w:pStyle w:val="bullets1"/>
              <w:numPr>
                <w:ilvl w:val="0"/>
                <w:numId w:val="0"/>
              </w:numPr>
              <w:ind w:left="720"/>
            </w:pPr>
            <w:r w:rsidRPr="00745C79">
              <w:rPr>
                <w:i/>
              </w:rPr>
              <w:t>Require</w:t>
            </w:r>
            <w:r>
              <w:rPr>
                <w:i/>
              </w:rPr>
              <w:t xml:space="preserve"> a </w:t>
            </w:r>
            <w:r w:rsidRPr="00745C79">
              <w:rPr>
                <w:i/>
              </w:rPr>
              <w:t xml:space="preserve">Pay as You Throw (PAYT) trash program.  </w:t>
            </w:r>
            <w:r w:rsidRPr="00745C79">
              <w:t xml:space="preserve">This ordinance/license language defines three cart sizes, and requires that the different costs charged by haulers for each cart size </w:t>
            </w:r>
            <w:r w:rsidR="000165BF">
              <w:t xml:space="preserve">– this differential being a state law - </w:t>
            </w:r>
            <w:r w:rsidRPr="00745C79">
              <w:t xml:space="preserve">be sufficient to encourage recycling and waste reduction: at least a 25% difference between the prices of the cart sizes. </w:t>
            </w:r>
          </w:p>
        </w:tc>
      </w:tr>
      <w:tr w:rsidR="008D043F" w:rsidRPr="00A27B06" w:rsidTr="00351F0F">
        <w:tc>
          <w:tcPr>
            <w:tcW w:w="10620" w:type="dxa"/>
          </w:tcPr>
          <w:p w:rsidR="00D7405B" w:rsidRDefault="00D7405B" w:rsidP="00D7405B">
            <w:pPr>
              <w:pStyle w:val="bullets1"/>
              <w:numPr>
                <w:ilvl w:val="0"/>
                <w:numId w:val="0"/>
              </w:numPr>
              <w:ind w:left="450"/>
            </w:pPr>
          </w:p>
          <w:p w:rsidR="00A36460" w:rsidRDefault="00A36460" w:rsidP="008D043F">
            <w:pPr>
              <w:pStyle w:val="bullets1"/>
              <w:rPr>
                <w:b/>
              </w:rPr>
            </w:pPr>
            <w:r w:rsidRPr="00A36460">
              <w:rPr>
                <w:b/>
              </w:rPr>
              <w:t>Hauler fee transparency</w:t>
            </w:r>
          </w:p>
          <w:p w:rsidR="00E15FD6" w:rsidRPr="00A27B06" w:rsidRDefault="00EF0617" w:rsidP="00ED0C00">
            <w:pPr>
              <w:pStyle w:val="bullets1"/>
              <w:numPr>
                <w:ilvl w:val="0"/>
                <w:numId w:val="0"/>
              </w:numPr>
              <w:ind w:left="720"/>
            </w:pPr>
            <w:r w:rsidRPr="00EF0617">
              <w:rPr>
                <w:i/>
              </w:rPr>
              <w:t xml:space="preserve">Require collectors to </w:t>
            </w:r>
            <w:r w:rsidR="00ED0C00">
              <w:rPr>
                <w:i/>
              </w:rPr>
              <w:t xml:space="preserve">annually or quarterly </w:t>
            </w:r>
            <w:r w:rsidRPr="00EF0617">
              <w:rPr>
                <w:i/>
              </w:rPr>
              <w:t xml:space="preserve">inform the City </w:t>
            </w:r>
            <w:r w:rsidR="005B29CC" w:rsidRPr="00EF0617">
              <w:rPr>
                <w:i/>
              </w:rPr>
              <w:t xml:space="preserve">of </w:t>
            </w:r>
            <w:r w:rsidR="005B29CC">
              <w:rPr>
                <w:i/>
              </w:rPr>
              <w:t>the</w:t>
            </w:r>
            <w:r w:rsidRPr="00EF0617">
              <w:rPr>
                <w:i/>
              </w:rPr>
              <w:t xml:space="preserve"> rates and fees</w:t>
            </w:r>
            <w:r w:rsidR="00A76915">
              <w:t xml:space="preserve"> </w:t>
            </w:r>
            <w:r w:rsidRPr="00EF0617">
              <w:t xml:space="preserve">haulers will charge residents, so that the City </w:t>
            </w:r>
            <w:r w:rsidR="00ED0C00">
              <w:t xml:space="preserve">can post these on its website and be informed of </w:t>
            </w:r>
            <w:r w:rsidRPr="00EF0617">
              <w:t>the differential costs between</w:t>
            </w:r>
            <w:r w:rsidR="00ED0C00">
              <w:t xml:space="preserve"> the cart sizes, of </w:t>
            </w:r>
            <w:r w:rsidRPr="00EF0617">
              <w:t>changes (in fees for hauling and disposal, and in county/state taxes)</w:t>
            </w:r>
            <w:r w:rsidR="00ED0C00">
              <w:t>,</w:t>
            </w:r>
            <w:r w:rsidRPr="00EF0617">
              <w:t xml:space="preserve"> and can provide information to residents if they have questions about special fees (fuel surcharges, cart rental, environmental/landfill, etc.) and discounts.</w:t>
            </w:r>
            <w:r w:rsidR="00A76915">
              <w:t xml:space="preserve"> </w:t>
            </w:r>
            <w:r w:rsidR="00A04B31">
              <w:t xml:space="preserve">Rates and fees should be posted on the city’s web site </w:t>
            </w:r>
            <w:r w:rsidR="00740C12">
              <w:t>as an at-</w:t>
            </w:r>
            <w:r w:rsidR="00A04B31">
              <w:t>least annual update for residents.</w:t>
            </w:r>
          </w:p>
        </w:tc>
      </w:tr>
      <w:tr w:rsidR="008D043F" w:rsidRPr="00A27B06" w:rsidTr="00351F0F">
        <w:tc>
          <w:tcPr>
            <w:tcW w:w="10620" w:type="dxa"/>
          </w:tcPr>
          <w:p w:rsidR="00C400C1" w:rsidRDefault="00C400C1" w:rsidP="00C400C1">
            <w:pPr>
              <w:pStyle w:val="bullets1"/>
              <w:numPr>
                <w:ilvl w:val="0"/>
                <w:numId w:val="0"/>
              </w:numPr>
              <w:ind w:left="450"/>
            </w:pPr>
          </w:p>
          <w:p w:rsidR="00C400C1" w:rsidRDefault="00C400C1" w:rsidP="008D043F">
            <w:pPr>
              <w:pStyle w:val="bullets1"/>
              <w:rPr>
                <w:b/>
              </w:rPr>
            </w:pPr>
            <w:r w:rsidRPr="00C400C1">
              <w:rPr>
                <w:b/>
              </w:rPr>
              <w:t>Ba</w:t>
            </w:r>
            <w:r w:rsidR="008D043F" w:rsidRPr="00C400C1">
              <w:rPr>
                <w:b/>
              </w:rPr>
              <w:t>si</w:t>
            </w:r>
            <w:r w:rsidRPr="00C400C1">
              <w:rPr>
                <w:b/>
              </w:rPr>
              <w:t>c hauler reporting requirements</w:t>
            </w:r>
          </w:p>
          <w:p w:rsidR="008D043F" w:rsidRPr="00A27B06" w:rsidRDefault="00C400C1" w:rsidP="001E5635">
            <w:pPr>
              <w:pStyle w:val="bullets1"/>
              <w:numPr>
                <w:ilvl w:val="0"/>
                <w:numId w:val="0"/>
              </w:numPr>
              <w:ind w:left="720"/>
            </w:pPr>
            <w:r w:rsidRPr="00C400C1">
              <w:rPr>
                <w:i/>
              </w:rPr>
              <w:t xml:space="preserve">Require haulers to </w:t>
            </w:r>
            <w:r w:rsidRPr="0078112C">
              <w:rPr>
                <w:i/>
              </w:rPr>
              <w:t>provide information to the City</w:t>
            </w:r>
            <w:r w:rsidR="0078112C" w:rsidRPr="0078112C">
              <w:rPr>
                <w:i/>
              </w:rPr>
              <w:t xml:space="preserve"> and/or County</w:t>
            </w:r>
            <w:r w:rsidR="0078112C" w:rsidRPr="0078112C">
              <w:t xml:space="preserve">: data required by the county and the State, </w:t>
            </w:r>
            <w:r w:rsidR="0078112C">
              <w:t xml:space="preserve">and other data as defined by the City. </w:t>
            </w:r>
            <w:r>
              <w:t xml:space="preserve"> </w:t>
            </w:r>
            <w:r w:rsidR="008D043F" w:rsidRPr="00A27B06">
              <w:t xml:space="preserve">  </w:t>
            </w:r>
          </w:p>
        </w:tc>
      </w:tr>
      <w:tr w:rsidR="008D043F" w:rsidRPr="00A27B06" w:rsidTr="00351F0F">
        <w:tc>
          <w:tcPr>
            <w:tcW w:w="10620" w:type="dxa"/>
          </w:tcPr>
          <w:p w:rsidR="00C400C1" w:rsidRDefault="00C400C1" w:rsidP="00C400C1">
            <w:pPr>
              <w:pStyle w:val="bullets1"/>
              <w:numPr>
                <w:ilvl w:val="0"/>
                <w:numId w:val="0"/>
              </w:numPr>
              <w:ind w:left="450"/>
            </w:pPr>
          </w:p>
          <w:p w:rsidR="00C400C1" w:rsidRDefault="00C400C1" w:rsidP="008D043F">
            <w:pPr>
              <w:pStyle w:val="bullets1"/>
              <w:rPr>
                <w:b/>
              </w:rPr>
            </w:pPr>
            <w:r w:rsidRPr="00C400C1">
              <w:rPr>
                <w:b/>
              </w:rPr>
              <w:t>Multi-unit and commercial containers</w:t>
            </w:r>
          </w:p>
          <w:p w:rsidR="0033321B" w:rsidRPr="00A27B06" w:rsidRDefault="00C400C1" w:rsidP="00D92ADB">
            <w:pPr>
              <w:pStyle w:val="bullets1"/>
              <w:numPr>
                <w:ilvl w:val="0"/>
                <w:numId w:val="0"/>
              </w:numPr>
              <w:ind w:left="720"/>
            </w:pPr>
            <w:r w:rsidRPr="000D7111">
              <w:rPr>
                <w:i/>
              </w:rPr>
              <w:t xml:space="preserve">Require </w:t>
            </w:r>
            <w:r w:rsidR="000D7111" w:rsidRPr="000D7111">
              <w:rPr>
                <w:i/>
              </w:rPr>
              <w:t>that multi-unit residential and commercial properties have containers</w:t>
            </w:r>
            <w:r w:rsidR="000D7111">
              <w:t xml:space="preserve"> for trash and recyclables. If the </w:t>
            </w:r>
            <w:r w:rsidR="000D7111" w:rsidRPr="000D7111">
              <w:t>City does not fu</w:t>
            </w:r>
            <w:r w:rsidR="000D7111">
              <w:t>rnish carts, language may be</w:t>
            </w:r>
            <w:r w:rsidR="000D7111" w:rsidRPr="000D7111">
              <w:t xml:space="preserve"> changed to require collectors to furnish containers</w:t>
            </w:r>
            <w:r w:rsidR="000D7111">
              <w:t>.</w:t>
            </w:r>
            <w:r w:rsidR="00CA6510">
              <w:t xml:space="preserve"> A city may wish to reference their zoning code here.</w:t>
            </w:r>
          </w:p>
        </w:tc>
      </w:tr>
      <w:tr w:rsidR="00563EF1" w:rsidRPr="00A27B06" w:rsidTr="00351F0F">
        <w:tc>
          <w:tcPr>
            <w:tcW w:w="10620" w:type="dxa"/>
          </w:tcPr>
          <w:p w:rsidR="000153B8" w:rsidRDefault="000153B8" w:rsidP="00563EF1">
            <w:pPr>
              <w:pStyle w:val="bullets1"/>
              <w:numPr>
                <w:ilvl w:val="0"/>
                <w:numId w:val="0"/>
              </w:numPr>
              <w:ind w:left="450"/>
            </w:pPr>
          </w:p>
          <w:p w:rsidR="00563EF1" w:rsidRDefault="00563EF1" w:rsidP="00563EF1">
            <w:pPr>
              <w:pStyle w:val="bullets1"/>
              <w:numPr>
                <w:ilvl w:val="0"/>
                <w:numId w:val="0"/>
              </w:numPr>
              <w:ind w:left="450"/>
            </w:pPr>
            <w:r>
              <w:t></w:t>
            </w:r>
            <w:r>
              <w:tab/>
            </w:r>
            <w:r w:rsidR="000153B8" w:rsidRPr="000153B8">
              <w:rPr>
                <w:b/>
              </w:rPr>
              <w:t>Waste Processing</w:t>
            </w:r>
          </w:p>
          <w:p w:rsidR="00563EF1" w:rsidRDefault="000153B8" w:rsidP="000153B8">
            <w:pPr>
              <w:pStyle w:val="bullets1"/>
              <w:numPr>
                <w:ilvl w:val="0"/>
                <w:numId w:val="0"/>
              </w:numPr>
              <w:ind w:left="720"/>
            </w:pPr>
            <w:r w:rsidRPr="000153B8">
              <w:rPr>
                <w:i/>
              </w:rPr>
              <w:t>Designate a preferred facility</w:t>
            </w:r>
            <w:r>
              <w:t xml:space="preserve"> in the license between the city and waste haulers. Cities that simply license haulers to operate in their city may not legally require waste/recyclables to be taken to a specific processing facility but may share the city/county/regional/state perspective on preferable facilities.</w:t>
            </w:r>
          </w:p>
          <w:p w:rsidR="00563EF1" w:rsidRDefault="00563EF1" w:rsidP="000153B8">
            <w:pPr>
              <w:pStyle w:val="bullets1"/>
              <w:numPr>
                <w:ilvl w:val="0"/>
                <w:numId w:val="0"/>
              </w:numPr>
              <w:ind w:left="720" w:hanging="360"/>
            </w:pPr>
          </w:p>
        </w:tc>
      </w:tr>
      <w:tr w:rsidR="008D043F" w:rsidRPr="000C7D4C" w:rsidTr="00351F0F">
        <w:tc>
          <w:tcPr>
            <w:tcW w:w="10620" w:type="dxa"/>
            <w:shd w:val="clear" w:color="auto" w:fill="FFFF00"/>
          </w:tcPr>
          <w:p w:rsidR="008D043F" w:rsidRDefault="007230E0" w:rsidP="007230E0">
            <w:pPr>
              <w:spacing w:before="120" w:after="0" w:line="240" w:lineRule="auto"/>
              <w:rPr>
                <w:rFonts w:ascii="Times New Roman" w:hAnsi="Times New Roman" w:cs="Times New Roman"/>
                <w:b/>
                <w:sz w:val="24"/>
                <w:szCs w:val="24"/>
              </w:rPr>
            </w:pPr>
            <w:r>
              <w:rPr>
                <w:rFonts w:ascii="Times New Roman" w:hAnsi="Times New Roman" w:cs="Times New Roman"/>
                <w:b/>
                <w:sz w:val="24"/>
                <w:szCs w:val="24"/>
              </w:rPr>
              <w:t>Better Ordinance/</w:t>
            </w:r>
            <w:r w:rsidRPr="007230E0">
              <w:rPr>
                <w:rFonts w:ascii="Times New Roman" w:hAnsi="Times New Roman" w:cs="Times New Roman"/>
                <w:b/>
                <w:sz w:val="24"/>
                <w:szCs w:val="24"/>
              </w:rPr>
              <w:t>License Practices</w:t>
            </w:r>
          </w:p>
          <w:p w:rsidR="007230E0" w:rsidRDefault="0063368F" w:rsidP="00F875B5">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See the </w:t>
            </w:r>
            <w:r>
              <w:rPr>
                <w:rFonts w:ascii="Times New Roman" w:hAnsi="Times New Roman" w:cs="Times New Roman"/>
                <w:sz w:val="24"/>
                <w:szCs w:val="24"/>
                <w:u w:val="single"/>
              </w:rPr>
              <w:t>Better</w:t>
            </w:r>
            <w:r w:rsidR="007230E0" w:rsidRPr="0063368F">
              <w:rPr>
                <w:rFonts w:ascii="Times New Roman" w:hAnsi="Times New Roman" w:cs="Times New Roman"/>
                <w:sz w:val="24"/>
                <w:szCs w:val="24"/>
                <w:u w:val="single"/>
              </w:rPr>
              <w:t xml:space="preserve"> License Template</w:t>
            </w:r>
            <w:r w:rsidR="007230E0" w:rsidRPr="00636CC5">
              <w:rPr>
                <w:rFonts w:ascii="Times New Roman" w:hAnsi="Times New Roman" w:cs="Times New Roman"/>
                <w:sz w:val="24"/>
                <w:szCs w:val="24"/>
              </w:rPr>
              <w:t xml:space="preserve"> for legal language that would be adopted by ordinance and included in </w:t>
            </w:r>
            <w:r w:rsidR="0021207E">
              <w:rPr>
                <w:rFonts w:ascii="Times New Roman" w:hAnsi="Times New Roman" w:cs="Times New Roman"/>
                <w:sz w:val="24"/>
                <w:szCs w:val="24"/>
              </w:rPr>
              <w:t xml:space="preserve">the </w:t>
            </w:r>
            <w:r w:rsidR="00F875B5" w:rsidRPr="00F875B5">
              <w:rPr>
                <w:rFonts w:ascii="Times New Roman" w:hAnsi="Times New Roman" w:cs="Times New Roman"/>
                <w:sz w:val="24"/>
                <w:szCs w:val="24"/>
              </w:rPr>
              <w:t xml:space="preserve">license -- see </w:t>
            </w:r>
            <w:r w:rsidR="00F875B5" w:rsidRPr="00F875B5">
              <w:rPr>
                <w:rFonts w:ascii="Times New Roman" w:hAnsi="Times New Roman" w:cs="Times New Roman"/>
                <w:sz w:val="24"/>
                <w:szCs w:val="24"/>
                <w:u w:val="single"/>
              </w:rPr>
              <w:t>Services Agreement Template</w:t>
            </w:r>
            <w:r w:rsidR="00F875B5" w:rsidRPr="00F875B5">
              <w:rPr>
                <w:rFonts w:ascii="Times New Roman" w:hAnsi="Times New Roman" w:cs="Times New Roman"/>
                <w:sz w:val="24"/>
                <w:szCs w:val="24"/>
              </w:rPr>
              <w:t xml:space="preserve"> -- a </w:t>
            </w:r>
            <w:r w:rsidR="007230E0" w:rsidRPr="00636CC5">
              <w:rPr>
                <w:rFonts w:ascii="Times New Roman" w:hAnsi="Times New Roman" w:cs="Times New Roman"/>
                <w:sz w:val="24"/>
                <w:szCs w:val="24"/>
              </w:rPr>
              <w:t>city issues to solid waste/recycling hauler(s).</w:t>
            </w:r>
          </w:p>
          <w:p w:rsidR="00D92ADB" w:rsidRPr="00636CC5" w:rsidRDefault="00D92ADB" w:rsidP="00D92ADB">
            <w:pPr>
              <w:pStyle w:val="ListParagraph"/>
              <w:spacing w:after="0" w:line="240" w:lineRule="auto"/>
              <w:rPr>
                <w:rFonts w:ascii="Times New Roman" w:hAnsi="Times New Roman" w:cs="Times New Roman"/>
                <w:sz w:val="24"/>
                <w:szCs w:val="24"/>
              </w:rPr>
            </w:pPr>
          </w:p>
        </w:tc>
      </w:tr>
      <w:tr w:rsidR="008D043F" w:rsidRPr="00A27B06" w:rsidTr="00351F0F">
        <w:tc>
          <w:tcPr>
            <w:tcW w:w="10620" w:type="dxa"/>
          </w:tcPr>
          <w:p w:rsidR="007230E0" w:rsidRDefault="007230E0" w:rsidP="007230E0">
            <w:pPr>
              <w:pStyle w:val="bullets1"/>
              <w:numPr>
                <w:ilvl w:val="0"/>
                <w:numId w:val="0"/>
              </w:numPr>
              <w:ind w:left="450"/>
            </w:pPr>
          </w:p>
          <w:p w:rsidR="00B61DDD" w:rsidRDefault="00B61DDD" w:rsidP="008D043F">
            <w:pPr>
              <w:pStyle w:val="bullets1"/>
              <w:rPr>
                <w:b/>
              </w:rPr>
            </w:pPr>
            <w:r w:rsidRPr="00B61DDD">
              <w:rPr>
                <w:b/>
              </w:rPr>
              <w:t>Th</w:t>
            </w:r>
            <w:r w:rsidR="0042511C">
              <w:rPr>
                <w:b/>
              </w:rPr>
              <w:t>e G</w:t>
            </w:r>
            <w:r w:rsidR="00B95558">
              <w:rPr>
                <w:b/>
              </w:rPr>
              <w:t xml:space="preserve">ood </w:t>
            </w:r>
            <w:r w:rsidRPr="00B61DDD">
              <w:rPr>
                <w:b/>
              </w:rPr>
              <w:t>practices</w:t>
            </w:r>
          </w:p>
          <w:p w:rsidR="001A035D" w:rsidRPr="001A035D" w:rsidRDefault="00B61DDD" w:rsidP="0063368F">
            <w:pPr>
              <w:pStyle w:val="bullets1"/>
              <w:numPr>
                <w:ilvl w:val="0"/>
                <w:numId w:val="0"/>
              </w:numPr>
              <w:ind w:left="720"/>
            </w:pPr>
            <w:r w:rsidRPr="001057E1">
              <w:rPr>
                <w:i/>
              </w:rPr>
              <w:t xml:space="preserve">Include </w:t>
            </w:r>
            <w:r w:rsidR="00827C01" w:rsidRPr="001057E1">
              <w:rPr>
                <w:i/>
              </w:rPr>
              <w:t xml:space="preserve">all </w:t>
            </w:r>
            <w:r w:rsidR="0042511C" w:rsidRPr="001057E1">
              <w:rPr>
                <w:i/>
              </w:rPr>
              <w:t>the G</w:t>
            </w:r>
            <w:r w:rsidRPr="001057E1">
              <w:rPr>
                <w:i/>
              </w:rPr>
              <w:t xml:space="preserve">ood </w:t>
            </w:r>
            <w:r w:rsidR="00B95558" w:rsidRPr="001057E1">
              <w:rPr>
                <w:i/>
              </w:rPr>
              <w:t xml:space="preserve">ordinance/license </w:t>
            </w:r>
            <w:r w:rsidRPr="001057E1">
              <w:rPr>
                <w:i/>
              </w:rPr>
              <w:t>practices</w:t>
            </w:r>
            <w:r w:rsidR="001A035D">
              <w:t xml:space="preserve">: </w:t>
            </w:r>
            <w:r w:rsidR="001A035D" w:rsidRPr="001A035D">
              <w:t xml:space="preserve">background checks for haulers, daily hauling districts, multi-material collection, volume-based pricing, hauler fee transparency, basic hauler reporting, multi-unit and commercial containers, </w:t>
            </w:r>
            <w:r w:rsidR="001113CA" w:rsidRPr="001A035D">
              <w:t>and ordinance</w:t>
            </w:r>
            <w:r w:rsidR="001A035D" w:rsidRPr="001A035D">
              <w:t>/license enforcement.</w:t>
            </w:r>
          </w:p>
        </w:tc>
      </w:tr>
      <w:tr w:rsidR="008D043F" w:rsidRPr="00A27B06" w:rsidTr="00351F0F">
        <w:tc>
          <w:tcPr>
            <w:tcW w:w="10620" w:type="dxa"/>
          </w:tcPr>
          <w:p w:rsidR="00B61DDD" w:rsidRDefault="00B61DDD" w:rsidP="00B61DDD">
            <w:pPr>
              <w:pStyle w:val="bullets1"/>
              <w:numPr>
                <w:ilvl w:val="0"/>
                <w:numId w:val="0"/>
              </w:numPr>
              <w:ind w:left="450"/>
            </w:pPr>
          </w:p>
          <w:p w:rsidR="00B61DDD" w:rsidRDefault="00B61DDD" w:rsidP="008D043F">
            <w:pPr>
              <w:pStyle w:val="bullets1"/>
              <w:rPr>
                <w:b/>
              </w:rPr>
            </w:pPr>
            <w:r w:rsidRPr="00B61DDD">
              <w:rPr>
                <w:b/>
              </w:rPr>
              <w:t>Solid Waste Standards</w:t>
            </w:r>
          </w:p>
          <w:p w:rsidR="008D043F" w:rsidRPr="00A27B06" w:rsidRDefault="00B61DDD" w:rsidP="001057E1">
            <w:pPr>
              <w:pStyle w:val="bullets1"/>
              <w:numPr>
                <w:ilvl w:val="0"/>
                <w:numId w:val="0"/>
              </w:numPr>
              <w:ind w:left="720"/>
            </w:pPr>
            <w:r w:rsidRPr="00D01544">
              <w:rPr>
                <w:i/>
              </w:rPr>
              <w:t>Authorize</w:t>
            </w:r>
            <w:r w:rsidR="008D043F" w:rsidRPr="00D01544">
              <w:rPr>
                <w:i/>
              </w:rPr>
              <w:t xml:space="preserve"> the City Administrator or Manger</w:t>
            </w:r>
            <w:r w:rsidR="008D043F" w:rsidRPr="00A27B06">
              <w:t xml:space="preserve"> to develop </w:t>
            </w:r>
            <w:r>
              <w:t xml:space="preserve">standards, which </w:t>
            </w:r>
            <w:r w:rsidR="008D043F" w:rsidRPr="00A27B06">
              <w:t>allow for timely changes of items such as the types of recyclables collected or hours of operation</w:t>
            </w:r>
            <w:r>
              <w:t>,</w:t>
            </w:r>
            <w:r w:rsidR="008D043F" w:rsidRPr="00A27B06">
              <w:t xml:space="preserve"> through an administrative process, instead of </w:t>
            </w:r>
            <w:r>
              <w:t xml:space="preserve">through </w:t>
            </w:r>
            <w:r w:rsidR="008D043F" w:rsidRPr="00A27B06">
              <w:t>an ordinance process.</w:t>
            </w:r>
          </w:p>
        </w:tc>
      </w:tr>
      <w:tr w:rsidR="008D043F" w:rsidRPr="00A27B06" w:rsidTr="00351F0F">
        <w:tc>
          <w:tcPr>
            <w:tcW w:w="10620" w:type="dxa"/>
          </w:tcPr>
          <w:p w:rsidR="00B61DDD" w:rsidRPr="00B61DDD" w:rsidRDefault="00B61DDD" w:rsidP="00B61DDD">
            <w:pPr>
              <w:pStyle w:val="bullets1"/>
              <w:numPr>
                <w:ilvl w:val="0"/>
                <w:numId w:val="0"/>
              </w:numPr>
              <w:ind w:left="450"/>
            </w:pPr>
          </w:p>
          <w:p w:rsidR="00D01544" w:rsidRPr="001057E1" w:rsidRDefault="008D043F" w:rsidP="008D043F">
            <w:pPr>
              <w:pStyle w:val="bullets1"/>
            </w:pPr>
            <w:r w:rsidRPr="007230E0">
              <w:rPr>
                <w:b/>
              </w:rPr>
              <w:t>Commercial licenses</w:t>
            </w:r>
          </w:p>
          <w:p w:rsidR="008D043F" w:rsidRPr="00A27B06" w:rsidRDefault="00D01544" w:rsidP="001057E1">
            <w:pPr>
              <w:pStyle w:val="bullets1"/>
              <w:numPr>
                <w:ilvl w:val="0"/>
                <w:numId w:val="0"/>
              </w:numPr>
              <w:ind w:left="720"/>
            </w:pPr>
            <w:r w:rsidRPr="00D01544">
              <w:rPr>
                <w:i/>
              </w:rPr>
              <w:t>Require licensing of haulers</w:t>
            </w:r>
            <w:r>
              <w:t xml:space="preserve"> of </w:t>
            </w:r>
            <w:r w:rsidR="008D043F" w:rsidRPr="00A27B06">
              <w:t>wastes from busine</w:t>
            </w:r>
            <w:r>
              <w:t>sses and multifamily properties.</w:t>
            </w:r>
          </w:p>
        </w:tc>
      </w:tr>
      <w:tr w:rsidR="008D043F" w:rsidRPr="00A27B06" w:rsidTr="00351F0F">
        <w:tc>
          <w:tcPr>
            <w:tcW w:w="10620" w:type="dxa"/>
          </w:tcPr>
          <w:p w:rsidR="00D01544" w:rsidRDefault="00D01544" w:rsidP="00D01544">
            <w:pPr>
              <w:pStyle w:val="bullets1"/>
              <w:numPr>
                <w:ilvl w:val="0"/>
                <w:numId w:val="0"/>
              </w:numPr>
              <w:ind w:left="450"/>
            </w:pPr>
          </w:p>
          <w:p w:rsidR="00D01544" w:rsidRDefault="0083776A" w:rsidP="008D043F">
            <w:pPr>
              <w:pStyle w:val="bullets1"/>
              <w:rPr>
                <w:b/>
              </w:rPr>
            </w:pPr>
            <w:r>
              <w:rPr>
                <w:b/>
              </w:rPr>
              <w:t>Maximum</w:t>
            </w:r>
            <w:r w:rsidR="00D01544" w:rsidRPr="00D01544">
              <w:rPr>
                <w:b/>
              </w:rPr>
              <w:t xml:space="preserve"> number of residential hauling licenses</w:t>
            </w:r>
          </w:p>
          <w:p w:rsidR="008D043F" w:rsidRPr="00A27B06" w:rsidRDefault="00D01544" w:rsidP="001057E1">
            <w:pPr>
              <w:pStyle w:val="bullets1"/>
              <w:numPr>
                <w:ilvl w:val="0"/>
                <w:numId w:val="0"/>
              </w:numPr>
              <w:ind w:left="720"/>
            </w:pPr>
            <w:r w:rsidRPr="0083776A">
              <w:rPr>
                <w:i/>
              </w:rPr>
              <w:t>Cap t</w:t>
            </w:r>
            <w:r w:rsidR="008D043F" w:rsidRPr="0083776A">
              <w:rPr>
                <w:i/>
              </w:rPr>
              <w:t>he number of r</w:t>
            </w:r>
            <w:r w:rsidRPr="0083776A">
              <w:rPr>
                <w:i/>
              </w:rPr>
              <w:t>esidential hauling licenses</w:t>
            </w:r>
            <w:r w:rsidR="008D043F" w:rsidRPr="00A27B06">
              <w:t xml:space="preserve"> at the number in place on a date selected by the City, with licenses in subsequent years contingent on serving a minimum number of residential accounts.</w:t>
            </w:r>
            <w:r w:rsidR="000A7C5D">
              <w:t xml:space="preserve"> </w:t>
            </w:r>
            <w:r w:rsidR="000A7C5D" w:rsidRPr="000A7C5D">
              <w:t>A city may determine however that maintaining a minimum of 2-3 haulers provides the benefit of competition that would otherwise be assured if the city organized garbage collection and issued a periodic RFP for services.</w:t>
            </w:r>
            <w:r w:rsidR="000A7C5D">
              <w:t xml:space="preserve"> </w:t>
            </w:r>
            <w:r w:rsidR="008D043F" w:rsidRPr="00A27B06">
              <w:t xml:space="preserve">  </w:t>
            </w:r>
          </w:p>
        </w:tc>
      </w:tr>
      <w:tr w:rsidR="008D043F" w:rsidRPr="00A27B06" w:rsidTr="00351F0F">
        <w:tc>
          <w:tcPr>
            <w:tcW w:w="10620" w:type="dxa"/>
          </w:tcPr>
          <w:p w:rsidR="008F7994" w:rsidRDefault="008F7994" w:rsidP="008F7994">
            <w:pPr>
              <w:pStyle w:val="bullets1"/>
              <w:numPr>
                <w:ilvl w:val="0"/>
                <w:numId w:val="0"/>
              </w:numPr>
              <w:ind w:left="450"/>
            </w:pPr>
          </w:p>
          <w:p w:rsidR="0083776A" w:rsidRDefault="0083776A" w:rsidP="008D043F">
            <w:pPr>
              <w:pStyle w:val="bullets1"/>
              <w:rPr>
                <w:b/>
              </w:rPr>
            </w:pPr>
            <w:r w:rsidRPr="0083776A">
              <w:rPr>
                <w:b/>
              </w:rPr>
              <w:t>Bi-weekly garbage collection</w:t>
            </w:r>
            <w:r w:rsidR="00F53B5E">
              <w:rPr>
                <w:b/>
              </w:rPr>
              <w:t xml:space="preserve"> / weekly recyclables collection</w:t>
            </w:r>
          </w:p>
          <w:p w:rsidR="008D043F" w:rsidRPr="00A27B06" w:rsidRDefault="0083776A" w:rsidP="001057E1">
            <w:pPr>
              <w:pStyle w:val="bullets1"/>
              <w:numPr>
                <w:ilvl w:val="0"/>
                <w:numId w:val="0"/>
              </w:numPr>
              <w:ind w:left="720"/>
            </w:pPr>
            <w:r w:rsidRPr="0083776A">
              <w:rPr>
                <w:i/>
              </w:rPr>
              <w:t xml:space="preserve">Require </w:t>
            </w:r>
            <w:r w:rsidR="008D043F" w:rsidRPr="0083776A">
              <w:rPr>
                <w:i/>
              </w:rPr>
              <w:t>residential haulers</w:t>
            </w:r>
            <w:r w:rsidRPr="0083776A">
              <w:rPr>
                <w:i/>
              </w:rPr>
              <w:t xml:space="preserve"> to set 4 cart size/frequency categories</w:t>
            </w:r>
            <w:r>
              <w:t xml:space="preserve">, </w:t>
            </w:r>
            <w:r w:rsidR="008D043F" w:rsidRPr="00A27B06">
              <w:t>with prices for service varying by the size of the container</w:t>
            </w:r>
            <w:r>
              <w:t xml:space="preserve"> (approximately 30, 60 and 90-gallons) and frequency of pick-up.</w:t>
            </w:r>
            <w:r w:rsidR="008D043F" w:rsidRPr="00A27B06">
              <w:t xml:space="preserve"> A “very small generator” cate</w:t>
            </w:r>
            <w:r>
              <w:t>gory is established: a</w:t>
            </w:r>
            <w:r w:rsidR="008D043F" w:rsidRPr="00A27B06">
              <w:t xml:space="preserve"> </w:t>
            </w:r>
            <w:r>
              <w:t>30-</w:t>
            </w:r>
            <w:r w:rsidR="008D043F" w:rsidRPr="0083776A">
              <w:t>gallon</w:t>
            </w:r>
            <w:r>
              <w:t xml:space="preserve"> (approximately)</w:t>
            </w:r>
            <w:r w:rsidR="008D043F" w:rsidRPr="0083776A">
              <w:t xml:space="preserve"> cart collected every other week</w:t>
            </w:r>
            <w:r w:rsidR="008D043F" w:rsidRPr="00A27B06">
              <w:t>.</w:t>
            </w:r>
            <w:r>
              <w:t xml:space="preserve"> </w:t>
            </w:r>
            <w:r w:rsidR="008D043F" w:rsidRPr="001110F6">
              <w:t xml:space="preserve">There should be at least a </w:t>
            </w:r>
            <w:r w:rsidR="008D043F">
              <w:t>3</w:t>
            </w:r>
            <w:r w:rsidR="008D043F" w:rsidRPr="001110F6">
              <w:t xml:space="preserve">5% difference between the prices of the </w:t>
            </w:r>
            <w:r w:rsidR="008D043F">
              <w:t xml:space="preserve">4 </w:t>
            </w:r>
            <w:r w:rsidR="008D043F" w:rsidRPr="001110F6">
              <w:t>cart size</w:t>
            </w:r>
            <w:r w:rsidR="008D043F">
              <w:t>/frequency categories</w:t>
            </w:r>
            <w:r w:rsidR="008D043F" w:rsidRPr="001110F6">
              <w:t>.</w:t>
            </w:r>
            <w:r w:rsidR="0021562E">
              <w:t xml:space="preserve"> Bi-weekly garbage collection pairs nicely with weekly recyclables collection (and adding organics collection).</w:t>
            </w:r>
          </w:p>
        </w:tc>
      </w:tr>
      <w:tr w:rsidR="008D043F" w:rsidRPr="00A27B06" w:rsidTr="00351F0F">
        <w:tc>
          <w:tcPr>
            <w:tcW w:w="10620" w:type="dxa"/>
          </w:tcPr>
          <w:p w:rsidR="004F0599" w:rsidRDefault="004F0599" w:rsidP="004F0599">
            <w:pPr>
              <w:pStyle w:val="bullets1"/>
              <w:numPr>
                <w:ilvl w:val="0"/>
                <w:numId w:val="0"/>
              </w:numPr>
              <w:ind w:left="450"/>
            </w:pPr>
          </w:p>
          <w:p w:rsidR="00827C01" w:rsidRDefault="004F0599" w:rsidP="008D043F">
            <w:pPr>
              <w:pStyle w:val="bullets1"/>
              <w:rPr>
                <w:b/>
              </w:rPr>
            </w:pPr>
            <w:r w:rsidRPr="00827C01">
              <w:rPr>
                <w:b/>
              </w:rPr>
              <w:t>Bulky</w:t>
            </w:r>
            <w:r w:rsidR="00827C01">
              <w:rPr>
                <w:b/>
              </w:rPr>
              <w:t xml:space="preserve"> W</w:t>
            </w:r>
            <w:r w:rsidR="00827C01" w:rsidRPr="00827C01">
              <w:rPr>
                <w:b/>
              </w:rPr>
              <w:t xml:space="preserve">aste and </w:t>
            </w:r>
            <w:r w:rsidR="00827C01">
              <w:rPr>
                <w:b/>
              </w:rPr>
              <w:t>Yard W</w:t>
            </w:r>
            <w:r w:rsidR="00827C01" w:rsidRPr="00827C01">
              <w:rPr>
                <w:b/>
              </w:rPr>
              <w:t>aste</w:t>
            </w:r>
            <w:r w:rsidR="00DE0754">
              <w:rPr>
                <w:b/>
              </w:rPr>
              <w:t xml:space="preserve"> Collection</w:t>
            </w:r>
          </w:p>
          <w:p w:rsidR="008D043F" w:rsidRPr="00A27B06" w:rsidRDefault="00827C01" w:rsidP="001057E1">
            <w:pPr>
              <w:pStyle w:val="bullets1"/>
              <w:numPr>
                <w:ilvl w:val="0"/>
                <w:numId w:val="0"/>
              </w:numPr>
              <w:ind w:left="720"/>
            </w:pPr>
            <w:r w:rsidRPr="00827C01">
              <w:rPr>
                <w:i/>
              </w:rPr>
              <w:t xml:space="preserve">Require collectors </w:t>
            </w:r>
            <w:r w:rsidR="008D043F" w:rsidRPr="00827C01">
              <w:rPr>
                <w:i/>
              </w:rPr>
              <w:t xml:space="preserve">to </w:t>
            </w:r>
            <w:r w:rsidRPr="00827C01">
              <w:rPr>
                <w:i/>
              </w:rPr>
              <w:t>provide bulky waste or yard w</w:t>
            </w:r>
            <w:r w:rsidR="008D043F" w:rsidRPr="00827C01">
              <w:rPr>
                <w:i/>
              </w:rPr>
              <w:t>aste services if requested</w:t>
            </w:r>
            <w:r>
              <w:t xml:space="preserve"> by residents, which may </w:t>
            </w:r>
            <w:r w:rsidR="008D043F" w:rsidRPr="00A27B06">
              <w:t>involve additional fees.</w:t>
            </w:r>
          </w:p>
        </w:tc>
      </w:tr>
      <w:tr w:rsidR="008D043F" w:rsidRPr="00A27B06" w:rsidTr="00351F0F">
        <w:tc>
          <w:tcPr>
            <w:tcW w:w="10620" w:type="dxa"/>
          </w:tcPr>
          <w:p w:rsidR="00827C01" w:rsidRPr="00827C01" w:rsidRDefault="00827C01" w:rsidP="00827C01">
            <w:pPr>
              <w:pStyle w:val="bullets1"/>
              <w:numPr>
                <w:ilvl w:val="0"/>
                <w:numId w:val="0"/>
              </w:numPr>
              <w:ind w:left="450"/>
            </w:pPr>
          </w:p>
          <w:p w:rsidR="00827C01" w:rsidRPr="001057E1" w:rsidRDefault="008D043F" w:rsidP="008D043F">
            <w:pPr>
              <w:pStyle w:val="bullets1"/>
            </w:pPr>
            <w:r w:rsidRPr="00827C01">
              <w:rPr>
                <w:b/>
              </w:rPr>
              <w:t>Source Separated Organic Materials</w:t>
            </w:r>
            <w:r w:rsidRPr="00A27B06">
              <w:t xml:space="preserve"> </w:t>
            </w:r>
            <w:r w:rsidRPr="00DE0754">
              <w:rPr>
                <w:b/>
              </w:rPr>
              <w:t>(</w:t>
            </w:r>
            <w:r w:rsidR="00827C01" w:rsidRPr="00DE0754">
              <w:rPr>
                <w:b/>
              </w:rPr>
              <w:t>SSO</w:t>
            </w:r>
            <w:r w:rsidRPr="00DE0754">
              <w:rPr>
                <w:b/>
              </w:rPr>
              <w:t>)</w:t>
            </w:r>
            <w:r w:rsidR="00DE0754" w:rsidRPr="00DE0754">
              <w:rPr>
                <w:b/>
              </w:rPr>
              <w:t xml:space="preserve"> Collection</w:t>
            </w:r>
          </w:p>
          <w:p w:rsidR="008D043F" w:rsidRPr="00A27B06" w:rsidRDefault="00827C01" w:rsidP="001057E1">
            <w:pPr>
              <w:pStyle w:val="bullets1"/>
              <w:numPr>
                <w:ilvl w:val="0"/>
                <w:numId w:val="0"/>
              </w:numPr>
              <w:ind w:left="720"/>
            </w:pPr>
            <w:r w:rsidRPr="00827C01">
              <w:rPr>
                <w:i/>
              </w:rPr>
              <w:t>Require collection of SSO</w:t>
            </w:r>
            <w:r>
              <w:t xml:space="preserve"> </w:t>
            </w:r>
            <w:r w:rsidR="008D043F" w:rsidRPr="00A27B06">
              <w:t>as a sepa</w:t>
            </w:r>
            <w:r>
              <w:t>rate waste stream</w:t>
            </w:r>
            <w:r w:rsidR="008D043F" w:rsidRPr="00A27B06">
              <w:t>, with requirements for proper collection</w:t>
            </w:r>
            <w:r w:rsidR="00F73143">
              <w:t>, collection frequency (weekly or bi-weekly)</w:t>
            </w:r>
            <w:r w:rsidR="008D043F" w:rsidRPr="00A27B06">
              <w:t xml:space="preserve"> and processing.</w:t>
            </w:r>
          </w:p>
        </w:tc>
      </w:tr>
      <w:tr w:rsidR="008D043F" w:rsidRPr="00A27B06" w:rsidTr="00351F0F">
        <w:tc>
          <w:tcPr>
            <w:tcW w:w="10620" w:type="dxa"/>
          </w:tcPr>
          <w:p w:rsidR="00827C01" w:rsidRDefault="00827C01" w:rsidP="0078112C">
            <w:pPr>
              <w:pStyle w:val="bullets1"/>
              <w:numPr>
                <w:ilvl w:val="0"/>
                <w:numId w:val="0"/>
              </w:numPr>
              <w:ind w:left="450"/>
            </w:pPr>
          </w:p>
          <w:p w:rsidR="0078112C" w:rsidRDefault="0078112C" w:rsidP="008D043F">
            <w:pPr>
              <w:pStyle w:val="bullets1"/>
              <w:rPr>
                <w:b/>
              </w:rPr>
            </w:pPr>
            <w:r w:rsidRPr="0078112C">
              <w:rPr>
                <w:b/>
              </w:rPr>
              <w:t xml:space="preserve">Enhanced </w:t>
            </w:r>
            <w:r w:rsidR="009E5943">
              <w:rPr>
                <w:b/>
              </w:rPr>
              <w:t xml:space="preserve">hauler </w:t>
            </w:r>
            <w:r w:rsidRPr="0078112C">
              <w:rPr>
                <w:b/>
              </w:rPr>
              <w:t>data r</w:t>
            </w:r>
            <w:r w:rsidR="008D043F" w:rsidRPr="0078112C">
              <w:rPr>
                <w:b/>
              </w:rPr>
              <w:t xml:space="preserve">eporting </w:t>
            </w:r>
          </w:p>
          <w:p w:rsidR="008D043F" w:rsidRPr="00A27B06" w:rsidRDefault="0078112C" w:rsidP="009E5943">
            <w:pPr>
              <w:pStyle w:val="bullets1"/>
              <w:numPr>
                <w:ilvl w:val="0"/>
                <w:numId w:val="0"/>
              </w:numPr>
              <w:ind w:left="720"/>
            </w:pPr>
            <w:r w:rsidRPr="0078112C">
              <w:rPr>
                <w:i/>
              </w:rPr>
              <w:t>Require licensees to submit City-specific</w:t>
            </w:r>
            <w:r>
              <w:t xml:space="preserve"> </w:t>
            </w:r>
            <w:r w:rsidRPr="006641CC">
              <w:rPr>
                <w:i/>
              </w:rPr>
              <w:t>semi-annual and annual reports</w:t>
            </w:r>
            <w:r>
              <w:t xml:space="preserve"> that include data specified in the City’s Solid Waste Standards, covering </w:t>
            </w:r>
            <w:r w:rsidRPr="0078112C">
              <w:t>tonnage data, number of accounts, complaints received, educational material provided to accounts</w:t>
            </w:r>
            <w:r w:rsidR="00A437B5">
              <w:t>.</w:t>
            </w:r>
          </w:p>
        </w:tc>
      </w:tr>
      <w:tr w:rsidR="008D043F" w:rsidRPr="00A27B06" w:rsidTr="00351F0F">
        <w:tc>
          <w:tcPr>
            <w:tcW w:w="10620" w:type="dxa"/>
          </w:tcPr>
          <w:p w:rsidR="00827C01" w:rsidRDefault="00827C01" w:rsidP="00A437B5">
            <w:pPr>
              <w:pStyle w:val="bullets1"/>
              <w:numPr>
                <w:ilvl w:val="0"/>
                <w:numId w:val="0"/>
              </w:numPr>
              <w:ind w:left="450"/>
            </w:pPr>
          </w:p>
          <w:p w:rsidR="00A437B5" w:rsidRDefault="00A437B5" w:rsidP="008D043F">
            <w:pPr>
              <w:pStyle w:val="bullets1"/>
              <w:rPr>
                <w:b/>
              </w:rPr>
            </w:pPr>
            <w:r w:rsidRPr="00A437B5">
              <w:rPr>
                <w:b/>
              </w:rPr>
              <w:t>Noise</w:t>
            </w:r>
            <w:r w:rsidR="006641CC">
              <w:rPr>
                <w:b/>
              </w:rPr>
              <w:t xml:space="preserve"> restriction</w:t>
            </w:r>
          </w:p>
          <w:p w:rsidR="008D043F" w:rsidRPr="00A27B06" w:rsidRDefault="00A437B5" w:rsidP="009E5943">
            <w:pPr>
              <w:pStyle w:val="bullets1"/>
              <w:numPr>
                <w:ilvl w:val="0"/>
                <w:numId w:val="0"/>
              </w:numPr>
              <w:ind w:left="720"/>
            </w:pPr>
            <w:r w:rsidRPr="006641CC">
              <w:rPr>
                <w:i/>
              </w:rPr>
              <w:t xml:space="preserve">Require commercial haulers to </w:t>
            </w:r>
            <w:r w:rsidR="008D043F" w:rsidRPr="006641CC">
              <w:rPr>
                <w:i/>
              </w:rPr>
              <w:t xml:space="preserve">comply with the </w:t>
            </w:r>
            <w:r w:rsidRPr="006641CC">
              <w:rPr>
                <w:i/>
              </w:rPr>
              <w:t>City’s noise o</w:t>
            </w:r>
            <w:r w:rsidR="008D043F" w:rsidRPr="006641CC">
              <w:rPr>
                <w:i/>
              </w:rPr>
              <w:t>rdinance</w:t>
            </w:r>
            <w:r>
              <w:t xml:space="preserve">, though which specification of collection hours </w:t>
            </w:r>
            <w:r w:rsidR="006641CC">
              <w:t xml:space="preserve">is </w:t>
            </w:r>
            <w:r>
              <w:t>allowed.</w:t>
            </w:r>
          </w:p>
        </w:tc>
      </w:tr>
      <w:tr w:rsidR="008D043F" w:rsidRPr="00A27B06" w:rsidTr="00351F0F">
        <w:tc>
          <w:tcPr>
            <w:tcW w:w="10620" w:type="dxa"/>
          </w:tcPr>
          <w:p w:rsidR="00827C01" w:rsidRDefault="00827C01" w:rsidP="006641CC">
            <w:pPr>
              <w:pStyle w:val="bullets1"/>
              <w:numPr>
                <w:ilvl w:val="0"/>
                <w:numId w:val="0"/>
              </w:numPr>
              <w:ind w:left="450"/>
            </w:pPr>
          </w:p>
          <w:p w:rsidR="008A0B5B" w:rsidRDefault="008A0B5B" w:rsidP="008D043F">
            <w:pPr>
              <w:pStyle w:val="bullets1"/>
              <w:rPr>
                <w:b/>
              </w:rPr>
            </w:pPr>
            <w:r w:rsidRPr="008A0B5B">
              <w:rPr>
                <w:b/>
              </w:rPr>
              <w:t>Re</w:t>
            </w:r>
            <w:r w:rsidR="00941A77">
              <w:rPr>
                <w:b/>
              </w:rPr>
              <w:t xml:space="preserve">sidential, commercial, </w:t>
            </w:r>
            <w:r w:rsidRPr="008A0B5B">
              <w:rPr>
                <w:b/>
              </w:rPr>
              <w:t>container placement</w:t>
            </w:r>
          </w:p>
          <w:p w:rsidR="00827C01" w:rsidRPr="00A27B06" w:rsidRDefault="008A0B5B" w:rsidP="003B6F31">
            <w:pPr>
              <w:pStyle w:val="bullets1"/>
              <w:numPr>
                <w:ilvl w:val="0"/>
                <w:numId w:val="0"/>
              </w:numPr>
              <w:ind w:left="720"/>
            </w:pPr>
            <w:r w:rsidRPr="009E5943">
              <w:rPr>
                <w:i/>
              </w:rPr>
              <w:t>Specify allowable</w:t>
            </w:r>
            <w:r w:rsidR="008D043F" w:rsidRPr="009E5943">
              <w:rPr>
                <w:i/>
              </w:rPr>
              <w:t xml:space="preserve"> </w:t>
            </w:r>
            <w:r w:rsidRPr="009E5943">
              <w:rPr>
                <w:i/>
              </w:rPr>
              <w:t xml:space="preserve">locations for </w:t>
            </w:r>
            <w:r w:rsidR="008D043F" w:rsidRPr="009E5943">
              <w:rPr>
                <w:i/>
              </w:rPr>
              <w:t>container</w:t>
            </w:r>
            <w:r w:rsidRPr="009E5943">
              <w:rPr>
                <w:i/>
              </w:rPr>
              <w:t>s</w:t>
            </w:r>
            <w:r>
              <w:t>. Specify placement of c</w:t>
            </w:r>
            <w:r w:rsidRPr="008A0B5B">
              <w:t>ommercial conta</w:t>
            </w:r>
            <w:r>
              <w:t>iners, including containers at multiple u</w:t>
            </w:r>
            <w:r w:rsidRPr="008A0B5B">
              <w:t>ni</w:t>
            </w:r>
            <w:r>
              <w:t>t residential d</w:t>
            </w:r>
            <w:r w:rsidRPr="008A0B5B">
              <w:t>wellings</w:t>
            </w:r>
            <w:r>
              <w:t xml:space="preserve">, </w:t>
            </w:r>
            <w:r w:rsidRPr="008A0B5B">
              <w:t xml:space="preserve">in enclosed areas in </w:t>
            </w:r>
            <w:r>
              <w:t>accordance with the City’s zoning c</w:t>
            </w:r>
            <w:r w:rsidRPr="008A0B5B">
              <w:t>ode.</w:t>
            </w:r>
          </w:p>
        </w:tc>
      </w:tr>
      <w:tr w:rsidR="00AC00B5" w:rsidRPr="00A27B06" w:rsidTr="00351F0F">
        <w:tc>
          <w:tcPr>
            <w:tcW w:w="10620" w:type="dxa"/>
          </w:tcPr>
          <w:p w:rsidR="003B6F31" w:rsidRDefault="003B6F31" w:rsidP="003B6F31">
            <w:pPr>
              <w:pStyle w:val="bullets1"/>
              <w:numPr>
                <w:ilvl w:val="0"/>
                <w:numId w:val="0"/>
              </w:numPr>
              <w:ind w:left="720"/>
            </w:pPr>
          </w:p>
          <w:p w:rsidR="003B6F31" w:rsidRPr="003B6F31" w:rsidRDefault="003B6F31" w:rsidP="003B6F31">
            <w:pPr>
              <w:pStyle w:val="bullets1"/>
              <w:rPr>
                <w:b/>
              </w:rPr>
            </w:pPr>
            <w:r w:rsidRPr="003B6F31">
              <w:rPr>
                <w:b/>
              </w:rPr>
              <w:t>Roll-off container placement</w:t>
            </w:r>
          </w:p>
          <w:p w:rsidR="00AC00B5" w:rsidRPr="003B6F31" w:rsidRDefault="003B6F31" w:rsidP="003B6F31">
            <w:pPr>
              <w:pStyle w:val="bullets1"/>
              <w:numPr>
                <w:ilvl w:val="0"/>
                <w:numId w:val="0"/>
              </w:numPr>
              <w:ind w:left="720"/>
            </w:pPr>
            <w:r w:rsidRPr="003B6F31">
              <w:rPr>
                <w:i/>
              </w:rPr>
              <w:t>Restrict roll-off container placement to private property</w:t>
            </w:r>
            <w:r w:rsidRPr="003B6F31">
              <w:t>, or public right of way with a specific City permit.</w:t>
            </w:r>
          </w:p>
        </w:tc>
      </w:tr>
      <w:tr w:rsidR="0063368F" w:rsidRPr="00A27B06" w:rsidTr="00351F0F">
        <w:tc>
          <w:tcPr>
            <w:tcW w:w="10620" w:type="dxa"/>
          </w:tcPr>
          <w:p w:rsidR="0063368F" w:rsidRDefault="0063368F" w:rsidP="0063368F">
            <w:pPr>
              <w:pStyle w:val="bullets1"/>
              <w:numPr>
                <w:ilvl w:val="0"/>
                <w:numId w:val="0"/>
              </w:numPr>
              <w:ind w:left="720"/>
              <w:rPr>
                <w:b/>
              </w:rPr>
            </w:pPr>
          </w:p>
          <w:p w:rsidR="0063368F" w:rsidRDefault="0063368F" w:rsidP="0063368F">
            <w:pPr>
              <w:pStyle w:val="bullets1"/>
              <w:rPr>
                <w:b/>
              </w:rPr>
            </w:pPr>
            <w:r w:rsidRPr="00E0154E">
              <w:rPr>
                <w:b/>
              </w:rPr>
              <w:t>Roll-off licensing</w:t>
            </w:r>
          </w:p>
          <w:p w:rsidR="0063368F" w:rsidRDefault="0063368F" w:rsidP="00AC00B5">
            <w:pPr>
              <w:pStyle w:val="bullets1"/>
              <w:numPr>
                <w:ilvl w:val="0"/>
                <w:numId w:val="0"/>
              </w:numPr>
              <w:ind w:left="720"/>
            </w:pPr>
            <w:r w:rsidRPr="0063368F">
              <w:rPr>
                <w:i/>
              </w:rPr>
              <w:t>Require, as a condition of licensing, background checks of roll-off companies and/or employees</w:t>
            </w:r>
            <w:r w:rsidRPr="0063368F">
              <w:t>.  Because roll-off containers are often sited at construction sites which have valuable building materials, background checks provide a level of assurance for your community. Cities in 2015 that license roll-off haulers i</w:t>
            </w:r>
            <w:r w:rsidR="00F377B7">
              <w:t>nclude St. Paul, Minneapolis &amp;</w:t>
            </w:r>
            <w:r w:rsidRPr="0063368F">
              <w:t xml:space="preserve"> Forest Lake.</w:t>
            </w:r>
          </w:p>
        </w:tc>
      </w:tr>
      <w:tr w:rsidR="0063368F" w:rsidRPr="00A27B06" w:rsidTr="00351F0F">
        <w:tc>
          <w:tcPr>
            <w:tcW w:w="10620" w:type="dxa"/>
          </w:tcPr>
          <w:p w:rsidR="003B6F31" w:rsidRDefault="003B6F31" w:rsidP="003B6F31">
            <w:pPr>
              <w:pStyle w:val="bullets1"/>
              <w:numPr>
                <w:ilvl w:val="0"/>
                <w:numId w:val="0"/>
              </w:numPr>
              <w:ind w:left="450"/>
            </w:pPr>
          </w:p>
          <w:p w:rsidR="003B6F31" w:rsidRDefault="003B6F31" w:rsidP="003B6F31">
            <w:pPr>
              <w:pStyle w:val="bullets1"/>
              <w:numPr>
                <w:ilvl w:val="0"/>
                <w:numId w:val="0"/>
              </w:numPr>
              <w:ind w:left="450"/>
            </w:pPr>
            <w:r>
              <w:t></w:t>
            </w:r>
            <w:r>
              <w:tab/>
            </w:r>
            <w:r w:rsidRPr="003B6F31">
              <w:rPr>
                <w:b/>
              </w:rPr>
              <w:t>Roll-off insurance</w:t>
            </w:r>
          </w:p>
          <w:p w:rsidR="0063368F" w:rsidRDefault="003B6F31" w:rsidP="003B6F31">
            <w:pPr>
              <w:pStyle w:val="bullets1"/>
              <w:numPr>
                <w:ilvl w:val="0"/>
                <w:numId w:val="0"/>
              </w:numPr>
              <w:ind w:left="720"/>
            </w:pPr>
            <w:r w:rsidRPr="003B6F31">
              <w:rPr>
                <w:i/>
              </w:rPr>
              <w:t>Require from roll-off licensee a certificate</w:t>
            </w:r>
            <w:r w:rsidRPr="003B6F31">
              <w:t xml:space="preserve"> of insurance for injury and property damage.</w:t>
            </w:r>
          </w:p>
        </w:tc>
      </w:tr>
      <w:tr w:rsidR="003B6F31" w:rsidRPr="00A27B06" w:rsidTr="00351F0F">
        <w:tc>
          <w:tcPr>
            <w:tcW w:w="10620" w:type="dxa"/>
          </w:tcPr>
          <w:p w:rsidR="003B6F31" w:rsidRDefault="003B6F31" w:rsidP="00B8537E">
            <w:pPr>
              <w:pStyle w:val="bullets1"/>
              <w:numPr>
                <w:ilvl w:val="0"/>
                <w:numId w:val="0"/>
              </w:numPr>
              <w:ind w:left="450"/>
            </w:pPr>
          </w:p>
          <w:p w:rsidR="003B6F31" w:rsidRDefault="003B6F31" w:rsidP="00AA43F4">
            <w:pPr>
              <w:pStyle w:val="bullets1"/>
              <w:rPr>
                <w:b/>
              </w:rPr>
            </w:pPr>
            <w:r w:rsidRPr="00F32A2E">
              <w:rPr>
                <w:b/>
              </w:rPr>
              <w:t>Roll-off reporting</w:t>
            </w:r>
            <w:r w:rsidR="00AA43F4">
              <w:rPr>
                <w:b/>
              </w:rPr>
              <w:t xml:space="preserve"> </w:t>
            </w:r>
            <w:r w:rsidR="00AA43F4" w:rsidRPr="00AA43F4">
              <w:rPr>
                <w:b/>
              </w:rPr>
              <w:t>&amp; recovered materials</w:t>
            </w:r>
          </w:p>
          <w:p w:rsidR="003B6F31" w:rsidRDefault="003B6F31" w:rsidP="00B8537E">
            <w:pPr>
              <w:pStyle w:val="bullets1"/>
              <w:numPr>
                <w:ilvl w:val="0"/>
                <w:numId w:val="0"/>
              </w:numPr>
              <w:ind w:left="720"/>
            </w:pPr>
            <w:r w:rsidRPr="00F32A2E">
              <w:rPr>
                <w:i/>
              </w:rPr>
              <w:t xml:space="preserve">Roll-off companies must file an annual </w:t>
            </w:r>
            <w:r>
              <w:rPr>
                <w:i/>
              </w:rPr>
              <w:t xml:space="preserve">data </w:t>
            </w:r>
            <w:r w:rsidRPr="00F32A2E">
              <w:rPr>
                <w:i/>
              </w:rPr>
              <w:t>report</w:t>
            </w:r>
            <w:r w:rsidRPr="00A27B06">
              <w:t xml:space="preserve"> to the </w:t>
            </w:r>
            <w:r>
              <w:t>City</w:t>
            </w:r>
            <w:r w:rsidR="006476CA">
              <w:t xml:space="preserve"> that includes documentation of construction and demolition recyclable materials processed</w:t>
            </w:r>
            <w:r w:rsidRPr="00A27B06">
              <w:t>.</w:t>
            </w:r>
          </w:p>
          <w:p w:rsidR="003B6F31" w:rsidRPr="00A27B06" w:rsidRDefault="003B6F31" w:rsidP="00B8537E">
            <w:pPr>
              <w:pStyle w:val="bullets1"/>
              <w:numPr>
                <w:ilvl w:val="0"/>
                <w:numId w:val="0"/>
              </w:numPr>
              <w:ind w:left="720"/>
            </w:pPr>
          </w:p>
        </w:tc>
      </w:tr>
      <w:tr w:rsidR="003B6F31" w:rsidRPr="000C7D4C" w:rsidTr="00351F0F">
        <w:tc>
          <w:tcPr>
            <w:tcW w:w="10620" w:type="dxa"/>
            <w:shd w:val="clear" w:color="auto" w:fill="00B0F0"/>
          </w:tcPr>
          <w:p w:rsidR="003B6F31" w:rsidRDefault="003B6F31" w:rsidP="00647595">
            <w:pPr>
              <w:spacing w:before="120" w:after="0" w:line="240" w:lineRule="auto"/>
              <w:rPr>
                <w:rFonts w:ascii="Times New Roman" w:hAnsi="Times New Roman" w:cs="Times New Roman"/>
                <w:b/>
                <w:sz w:val="24"/>
                <w:szCs w:val="24"/>
              </w:rPr>
            </w:pPr>
            <w:r>
              <w:rPr>
                <w:rFonts w:ascii="Times New Roman" w:hAnsi="Times New Roman" w:cs="Times New Roman"/>
                <w:b/>
                <w:sz w:val="24"/>
                <w:szCs w:val="24"/>
              </w:rPr>
              <w:t>Summary of Best Ordinance/</w:t>
            </w:r>
            <w:r w:rsidRPr="007230E0">
              <w:rPr>
                <w:rFonts w:ascii="Times New Roman" w:hAnsi="Times New Roman" w:cs="Times New Roman"/>
                <w:b/>
                <w:sz w:val="24"/>
                <w:szCs w:val="24"/>
              </w:rPr>
              <w:t>License Practices</w:t>
            </w:r>
          </w:p>
          <w:p w:rsidR="003B6F31" w:rsidRPr="0011315F" w:rsidRDefault="00880A9F" w:rsidP="00F875B5">
            <w:pPr>
              <w:pStyle w:val="ListParagraph"/>
              <w:numPr>
                <w:ilvl w:val="0"/>
                <w:numId w:val="2"/>
              </w:numPr>
              <w:spacing w:line="240" w:lineRule="auto"/>
              <w:rPr>
                <w:rFonts w:ascii="Times New Roman" w:hAnsi="Times New Roman" w:cs="Times New Roman"/>
                <w:b/>
                <w:sz w:val="24"/>
                <w:szCs w:val="24"/>
              </w:rPr>
            </w:pPr>
            <w:r>
              <w:rPr>
                <w:rFonts w:ascii="Times New Roman" w:hAnsi="Times New Roman" w:cs="Times New Roman"/>
                <w:sz w:val="24"/>
                <w:szCs w:val="24"/>
              </w:rPr>
              <w:t xml:space="preserve">See the </w:t>
            </w:r>
            <w:r>
              <w:rPr>
                <w:rFonts w:ascii="Times New Roman" w:hAnsi="Times New Roman" w:cs="Times New Roman"/>
                <w:sz w:val="24"/>
                <w:szCs w:val="24"/>
                <w:u w:val="single"/>
              </w:rPr>
              <w:t>Best</w:t>
            </w:r>
            <w:r w:rsidR="003B6F31" w:rsidRPr="00880A9F">
              <w:rPr>
                <w:rFonts w:ascii="Times New Roman" w:hAnsi="Times New Roman" w:cs="Times New Roman"/>
                <w:sz w:val="24"/>
                <w:szCs w:val="24"/>
                <w:u w:val="single"/>
              </w:rPr>
              <w:t xml:space="preserve"> License Template</w:t>
            </w:r>
            <w:r w:rsidR="003B6F31" w:rsidRPr="0011315F">
              <w:rPr>
                <w:rFonts w:ascii="Times New Roman" w:hAnsi="Times New Roman" w:cs="Times New Roman"/>
                <w:sz w:val="24"/>
                <w:szCs w:val="24"/>
              </w:rPr>
              <w:t xml:space="preserve"> for legal language that would be adopted by ordinanc</w:t>
            </w:r>
            <w:r w:rsidR="003B6F31">
              <w:rPr>
                <w:rFonts w:ascii="Times New Roman" w:hAnsi="Times New Roman" w:cs="Times New Roman"/>
                <w:sz w:val="24"/>
                <w:szCs w:val="24"/>
              </w:rPr>
              <w:t xml:space="preserve">e and included in the </w:t>
            </w:r>
            <w:r w:rsidR="00F875B5" w:rsidRPr="00F875B5">
              <w:rPr>
                <w:rFonts w:ascii="Times New Roman" w:hAnsi="Times New Roman" w:cs="Times New Roman"/>
                <w:sz w:val="24"/>
                <w:szCs w:val="24"/>
              </w:rPr>
              <w:t xml:space="preserve">license -- see </w:t>
            </w:r>
            <w:r w:rsidR="00F875B5" w:rsidRPr="00F875B5">
              <w:rPr>
                <w:rFonts w:ascii="Times New Roman" w:hAnsi="Times New Roman" w:cs="Times New Roman"/>
                <w:sz w:val="24"/>
                <w:szCs w:val="24"/>
                <w:u w:val="single"/>
              </w:rPr>
              <w:t>Services Agreement Template</w:t>
            </w:r>
            <w:r w:rsidR="00F875B5" w:rsidRPr="00F875B5">
              <w:rPr>
                <w:rFonts w:ascii="Times New Roman" w:hAnsi="Times New Roman" w:cs="Times New Roman"/>
                <w:sz w:val="24"/>
                <w:szCs w:val="24"/>
              </w:rPr>
              <w:t xml:space="preserve"> -- a </w:t>
            </w:r>
            <w:r w:rsidR="003B6F31" w:rsidRPr="0011315F">
              <w:rPr>
                <w:rFonts w:ascii="Times New Roman" w:hAnsi="Times New Roman" w:cs="Times New Roman"/>
                <w:sz w:val="24"/>
                <w:szCs w:val="24"/>
              </w:rPr>
              <w:t>city issues to solid waste/recycling hauler(s).</w:t>
            </w:r>
          </w:p>
        </w:tc>
      </w:tr>
      <w:tr w:rsidR="003B6F31" w:rsidRPr="00A27B06" w:rsidTr="00351F0F">
        <w:tc>
          <w:tcPr>
            <w:tcW w:w="10620" w:type="dxa"/>
          </w:tcPr>
          <w:p w:rsidR="003B6F31" w:rsidRPr="00276D55" w:rsidRDefault="003B6F31" w:rsidP="00276D55">
            <w:pPr>
              <w:pStyle w:val="bullets1"/>
              <w:numPr>
                <w:ilvl w:val="0"/>
                <w:numId w:val="0"/>
              </w:numPr>
              <w:ind w:left="450"/>
            </w:pPr>
          </w:p>
          <w:p w:rsidR="003B6F31" w:rsidRPr="00133A6B" w:rsidRDefault="003B6F31" w:rsidP="00DF7465">
            <w:pPr>
              <w:pStyle w:val="bullets1"/>
            </w:pPr>
            <w:r>
              <w:rPr>
                <w:b/>
              </w:rPr>
              <w:t>The Better practices</w:t>
            </w:r>
          </w:p>
          <w:p w:rsidR="003B6F31" w:rsidRDefault="003B6F31" w:rsidP="00133A6B">
            <w:pPr>
              <w:pStyle w:val="bullets1"/>
              <w:numPr>
                <w:ilvl w:val="0"/>
                <w:numId w:val="0"/>
              </w:numPr>
              <w:ind w:left="720"/>
              <w:rPr>
                <w:i/>
              </w:rPr>
            </w:pPr>
            <w:r w:rsidRPr="00133A6B">
              <w:rPr>
                <w:i/>
              </w:rPr>
              <w:t>Include all the G</w:t>
            </w:r>
            <w:r w:rsidR="00992BC0">
              <w:rPr>
                <w:i/>
              </w:rPr>
              <w:t>ood practices.</w:t>
            </w:r>
          </w:p>
          <w:p w:rsidR="003B6F31" w:rsidRPr="00EE5189" w:rsidRDefault="003B6F31" w:rsidP="00992BC0">
            <w:pPr>
              <w:pStyle w:val="bullets1"/>
              <w:numPr>
                <w:ilvl w:val="0"/>
                <w:numId w:val="0"/>
              </w:numPr>
              <w:ind w:left="720"/>
            </w:pPr>
            <w:r>
              <w:rPr>
                <w:i/>
              </w:rPr>
              <w:t xml:space="preserve">Include all the Better practices: </w:t>
            </w:r>
            <w:r w:rsidRPr="00DE0754">
              <w:t xml:space="preserve">Solid Waste Standards, commercial licenses, maximum number of residential hauling licenses, bi-weekly garbage collection, Bulky Waste and Yard Waste collection, </w:t>
            </w:r>
            <w:r w:rsidRPr="00DE0754">
              <w:lastRenderedPageBreak/>
              <w:t>Source Separated Organic collection, enhanced data reporting, noise restriction, container placement for res</w:t>
            </w:r>
            <w:r w:rsidR="00D21D75">
              <w:t>idential and</w:t>
            </w:r>
            <w:r w:rsidR="00941A77">
              <w:t xml:space="preserve"> commercial, </w:t>
            </w:r>
            <w:r w:rsidR="00992BC0">
              <w:t xml:space="preserve">and roll-off container placement, licensing, insurance, reporting. </w:t>
            </w:r>
          </w:p>
        </w:tc>
      </w:tr>
      <w:tr w:rsidR="003B6F31" w:rsidRPr="00A27B06" w:rsidTr="00351F0F">
        <w:tc>
          <w:tcPr>
            <w:tcW w:w="10620" w:type="dxa"/>
          </w:tcPr>
          <w:p w:rsidR="003B6F31" w:rsidRDefault="003B6F31" w:rsidP="00276D55">
            <w:pPr>
              <w:pStyle w:val="bullets1"/>
              <w:numPr>
                <w:ilvl w:val="0"/>
                <w:numId w:val="0"/>
              </w:numPr>
              <w:ind w:left="450"/>
            </w:pPr>
          </w:p>
          <w:p w:rsidR="003B6F31" w:rsidRDefault="006476CA" w:rsidP="008D043F">
            <w:pPr>
              <w:pStyle w:val="bullets1"/>
            </w:pPr>
            <w:r>
              <w:rPr>
                <w:b/>
              </w:rPr>
              <w:t>More flexibility in</w:t>
            </w:r>
            <w:r w:rsidR="003B6F31" w:rsidRPr="00276D55">
              <w:rPr>
                <w:b/>
              </w:rPr>
              <w:t xml:space="preserve"> Solid Waste Standards</w:t>
            </w:r>
          </w:p>
          <w:p w:rsidR="003B6F31" w:rsidRPr="00A27B06" w:rsidRDefault="003B6F31" w:rsidP="001113CA">
            <w:pPr>
              <w:pStyle w:val="bullets1"/>
              <w:numPr>
                <w:ilvl w:val="0"/>
                <w:numId w:val="0"/>
              </w:numPr>
              <w:ind w:left="720"/>
            </w:pPr>
            <w:r w:rsidRPr="00CC7BDF">
              <w:rPr>
                <w:i/>
              </w:rPr>
              <w:t>Further define and expand the authority of the City Administrator or Man</w:t>
            </w:r>
            <w:r w:rsidR="006476CA">
              <w:rPr>
                <w:i/>
              </w:rPr>
              <w:t>a</w:t>
            </w:r>
            <w:r w:rsidRPr="00CC7BDF">
              <w:rPr>
                <w:i/>
              </w:rPr>
              <w:t>ger</w:t>
            </w:r>
            <w:r w:rsidRPr="00CC7BDF">
              <w:t xml:space="preserve"> to develop standards, which allow for timely changes of items such as the types of recyclables collected or hours of operation, through an administrative process, instead of through an ordinance process. </w:t>
            </w:r>
            <w:r w:rsidR="001113CA">
              <w:t xml:space="preserve">For example, a city may choose to promote the collection efforts of electronics retailers </w:t>
            </w:r>
            <w:r w:rsidR="009768A0">
              <w:t xml:space="preserve">and perhaps the county </w:t>
            </w:r>
            <w:r w:rsidR="001113CA">
              <w:t xml:space="preserve">rather than city collection of electronics. </w:t>
            </w:r>
          </w:p>
        </w:tc>
      </w:tr>
      <w:tr w:rsidR="003B6F31" w:rsidRPr="00A27B06" w:rsidTr="00351F0F">
        <w:tc>
          <w:tcPr>
            <w:tcW w:w="10620" w:type="dxa"/>
          </w:tcPr>
          <w:p w:rsidR="003B6F31" w:rsidRDefault="003B6F31" w:rsidP="00276D55">
            <w:pPr>
              <w:pStyle w:val="bullets1"/>
              <w:numPr>
                <w:ilvl w:val="0"/>
                <w:numId w:val="0"/>
              </w:numPr>
              <w:ind w:left="450"/>
            </w:pPr>
          </w:p>
          <w:p w:rsidR="003B6F31" w:rsidRPr="00133A6B" w:rsidRDefault="003B6F31" w:rsidP="008D043F">
            <w:pPr>
              <w:pStyle w:val="bullets1"/>
              <w:rPr>
                <w:b/>
              </w:rPr>
            </w:pPr>
            <w:r w:rsidRPr="00133A6B">
              <w:rPr>
                <w:b/>
              </w:rPr>
              <w:t>Minimum market share to maintain hauler license</w:t>
            </w:r>
          </w:p>
          <w:p w:rsidR="003B6F31" w:rsidRPr="00A27B06" w:rsidRDefault="003B6F31" w:rsidP="00133A6B">
            <w:pPr>
              <w:pStyle w:val="bullets1"/>
              <w:numPr>
                <w:ilvl w:val="0"/>
                <w:numId w:val="0"/>
              </w:numPr>
              <w:ind w:left="720"/>
            </w:pPr>
            <w:r w:rsidRPr="00133A6B">
              <w:rPr>
                <w:i/>
              </w:rPr>
              <w:t>Cap the number of residential hauling licenses</w:t>
            </w:r>
            <w:r w:rsidRPr="00133A6B">
              <w:t xml:space="preserve"> at the number in place on a date selected by the City, with licenses in subsequent years contingent on </w:t>
            </w:r>
            <w:r>
              <w:t xml:space="preserve">haulers </w:t>
            </w:r>
            <w:r w:rsidRPr="00133A6B">
              <w:t xml:space="preserve">serving </w:t>
            </w:r>
            <w:r w:rsidRPr="00133A6B">
              <w:rPr>
                <w:i/>
              </w:rPr>
              <w:t>a minimum percentage of residential customers to maintain license eligibility</w:t>
            </w:r>
            <w:r w:rsidRPr="00133A6B">
              <w:t>, rather than a minimum number of residential accounts.</w:t>
            </w:r>
          </w:p>
        </w:tc>
      </w:tr>
      <w:tr w:rsidR="003B6F31" w:rsidRPr="00A27B06" w:rsidTr="00351F0F">
        <w:tc>
          <w:tcPr>
            <w:tcW w:w="10620" w:type="dxa"/>
          </w:tcPr>
          <w:p w:rsidR="003B6F31" w:rsidRDefault="003B6F31" w:rsidP="00915818">
            <w:pPr>
              <w:pStyle w:val="bullets1"/>
              <w:numPr>
                <w:ilvl w:val="0"/>
                <w:numId w:val="0"/>
              </w:numPr>
              <w:ind w:left="450"/>
            </w:pPr>
          </w:p>
          <w:p w:rsidR="003B6F31" w:rsidRPr="00C145AE" w:rsidRDefault="003B6F31" w:rsidP="008D043F">
            <w:pPr>
              <w:pStyle w:val="bullets1"/>
              <w:rPr>
                <w:b/>
              </w:rPr>
            </w:pPr>
            <w:r w:rsidRPr="00C145AE">
              <w:rPr>
                <w:b/>
              </w:rPr>
              <w:t>Enhanced volume-based pricing</w:t>
            </w:r>
            <w:r w:rsidR="008E67D5">
              <w:rPr>
                <w:b/>
              </w:rPr>
              <w:t xml:space="preserve"> / collection frequency</w:t>
            </w:r>
          </w:p>
          <w:p w:rsidR="003B6F31" w:rsidRPr="00A27B06" w:rsidRDefault="003B6F31" w:rsidP="00C145AE">
            <w:pPr>
              <w:pStyle w:val="bullets1"/>
              <w:numPr>
                <w:ilvl w:val="0"/>
                <w:numId w:val="0"/>
              </w:numPr>
              <w:ind w:left="720"/>
            </w:pPr>
            <w:r w:rsidRPr="00C145AE">
              <w:rPr>
                <w:i/>
              </w:rPr>
              <w:t>Establish at least a 50% difference between the prices of the 4 cart size/frequency residential hauler categories</w:t>
            </w:r>
            <w:r>
              <w:t xml:space="preserve">: </w:t>
            </w:r>
            <w:r w:rsidRPr="00C145AE">
              <w:t>appro</w:t>
            </w:r>
            <w:r>
              <w:t xml:space="preserve">ximately 30, 60 and 90-gallons and a </w:t>
            </w:r>
            <w:r w:rsidRPr="00C145AE">
              <w:t>“very small gener</w:t>
            </w:r>
            <w:r>
              <w:t xml:space="preserve">ator” category for a </w:t>
            </w:r>
            <w:r w:rsidRPr="00C145AE">
              <w:t xml:space="preserve">30-gallon (approximately) cart collected every other week. </w:t>
            </w:r>
            <w:r w:rsidR="008E67D5">
              <w:t>Cities may also want the 60- or 90-gallon bi-weekly cart collection option.</w:t>
            </w:r>
          </w:p>
        </w:tc>
      </w:tr>
      <w:tr w:rsidR="003B6F31" w:rsidRPr="00A27B06" w:rsidTr="00351F0F">
        <w:tc>
          <w:tcPr>
            <w:tcW w:w="10620" w:type="dxa"/>
          </w:tcPr>
          <w:p w:rsidR="003B6F31" w:rsidRDefault="003B6F31" w:rsidP="00915818">
            <w:pPr>
              <w:pStyle w:val="bullets1"/>
              <w:numPr>
                <w:ilvl w:val="0"/>
                <w:numId w:val="0"/>
              </w:numPr>
              <w:ind w:left="450"/>
            </w:pPr>
          </w:p>
          <w:p w:rsidR="003B6F31" w:rsidRPr="0011315F" w:rsidRDefault="003B6F31" w:rsidP="008D043F">
            <w:pPr>
              <w:pStyle w:val="bullets1"/>
              <w:rPr>
                <w:b/>
              </w:rPr>
            </w:pPr>
            <w:r w:rsidRPr="0011315F">
              <w:rPr>
                <w:b/>
              </w:rPr>
              <w:t xml:space="preserve">Enhanced </w:t>
            </w:r>
            <w:r>
              <w:rPr>
                <w:b/>
              </w:rPr>
              <w:t xml:space="preserve">hauler </w:t>
            </w:r>
            <w:r w:rsidRPr="0011315F">
              <w:rPr>
                <w:b/>
              </w:rPr>
              <w:t>data reporting with penalties</w:t>
            </w:r>
          </w:p>
          <w:p w:rsidR="003B6F31" w:rsidRPr="00A27B06" w:rsidRDefault="003B6F31" w:rsidP="0011315F">
            <w:pPr>
              <w:pStyle w:val="bullets1"/>
              <w:numPr>
                <w:ilvl w:val="0"/>
                <w:numId w:val="0"/>
              </w:numPr>
              <w:ind w:left="720"/>
            </w:pPr>
            <w:r w:rsidRPr="0011315F">
              <w:rPr>
                <w:i/>
              </w:rPr>
              <w:t xml:space="preserve">Require due-dates for reporting and </w:t>
            </w:r>
            <w:r>
              <w:rPr>
                <w:i/>
              </w:rPr>
              <w:t xml:space="preserve">administrative </w:t>
            </w:r>
            <w:r w:rsidRPr="0011315F">
              <w:rPr>
                <w:i/>
              </w:rPr>
              <w:t>penalties for failure to report</w:t>
            </w:r>
            <w:r w:rsidR="00065485">
              <w:t xml:space="preserve">. Residential </w:t>
            </w:r>
            <w:r w:rsidR="006476CA">
              <w:t>l</w:t>
            </w:r>
            <w:r>
              <w:t xml:space="preserve">icensees </w:t>
            </w:r>
            <w:r w:rsidRPr="0011315F">
              <w:t>submit City-specific semi-annual and annual reports that include data specified in the City’s Solid Waste Standards, covering tonnage data, number of accounts, complaints received, educational material provided to accounts.</w:t>
            </w:r>
            <w:r w:rsidR="007063E8">
              <w:t xml:space="preserve"> Reports can also include </w:t>
            </w:r>
            <w:r w:rsidR="007063E8" w:rsidRPr="007063E8">
              <w:t>the rates and fees haulers will charge residents</w:t>
            </w:r>
            <w:r w:rsidR="007063E8">
              <w:t xml:space="preserve"> to assure that the city web site accurately reflects what haulers are charging.</w:t>
            </w:r>
          </w:p>
        </w:tc>
      </w:tr>
      <w:tr w:rsidR="003B6F31" w:rsidRPr="006A074E" w:rsidTr="00351F0F">
        <w:tc>
          <w:tcPr>
            <w:tcW w:w="10620" w:type="dxa"/>
          </w:tcPr>
          <w:p w:rsidR="003B6F31" w:rsidRDefault="003B6F31" w:rsidP="00915818">
            <w:pPr>
              <w:pStyle w:val="bullets1"/>
              <w:numPr>
                <w:ilvl w:val="0"/>
                <w:numId w:val="0"/>
              </w:numPr>
              <w:ind w:left="450"/>
            </w:pPr>
          </w:p>
          <w:p w:rsidR="003B6F31" w:rsidRDefault="00941A77" w:rsidP="008D043F">
            <w:pPr>
              <w:pStyle w:val="bullets1"/>
            </w:pPr>
            <w:r>
              <w:rPr>
                <w:b/>
              </w:rPr>
              <w:t>R</w:t>
            </w:r>
            <w:r w:rsidR="003B6F31" w:rsidRPr="008A0B5B">
              <w:rPr>
                <w:b/>
              </w:rPr>
              <w:t>oll-off</w:t>
            </w:r>
            <w:r w:rsidR="003B6F31">
              <w:rPr>
                <w:b/>
              </w:rPr>
              <w:t xml:space="preserve"> data reporting</w:t>
            </w:r>
            <w:r w:rsidR="00AA43F4">
              <w:rPr>
                <w:b/>
              </w:rPr>
              <w:t xml:space="preserve"> &amp; </w:t>
            </w:r>
            <w:r w:rsidR="00D92ADB">
              <w:rPr>
                <w:b/>
              </w:rPr>
              <w:t xml:space="preserve">recycling goals </w:t>
            </w:r>
          </w:p>
          <w:p w:rsidR="003B6F31" w:rsidRPr="006A074E" w:rsidRDefault="003B6F31" w:rsidP="00D92ADB">
            <w:pPr>
              <w:pStyle w:val="bullets1"/>
              <w:numPr>
                <w:ilvl w:val="0"/>
                <w:numId w:val="0"/>
              </w:numPr>
              <w:ind w:left="720"/>
            </w:pPr>
            <w:r>
              <w:t xml:space="preserve">Require city-specific data from haulers of solid waste from </w:t>
            </w:r>
            <w:r w:rsidR="00941A77">
              <w:t>commercial businesses and</w:t>
            </w:r>
            <w:r w:rsidR="00065485">
              <w:t xml:space="preserve"> in roll-off containers</w:t>
            </w:r>
            <w:r w:rsidRPr="00FD7F51">
              <w:t xml:space="preserve">. </w:t>
            </w:r>
            <w:r w:rsidR="00D92ADB">
              <w:t xml:space="preserve">Have </w:t>
            </w:r>
            <w:r w:rsidR="00AA43F4" w:rsidRPr="00AA43F4">
              <w:t>construction and demolition</w:t>
            </w:r>
            <w:r w:rsidR="00D92ADB">
              <w:t xml:space="preserve"> roll-off haulers compare percent</w:t>
            </w:r>
            <w:r w:rsidR="00AA43F4" w:rsidRPr="00AA43F4">
              <w:t xml:space="preserve"> recyclable materials processed</w:t>
            </w:r>
            <w:r w:rsidR="00D92ADB">
              <w:t xml:space="preserve"> to goals set by the hauler, or by the demolition permit holder, or by the city</w:t>
            </w:r>
            <w:r w:rsidR="00AA43F4" w:rsidRPr="00AA43F4">
              <w:t>.</w:t>
            </w:r>
          </w:p>
        </w:tc>
      </w:tr>
      <w:tr w:rsidR="00A52D9E" w:rsidRPr="00A27B06" w:rsidTr="00351F0F">
        <w:tc>
          <w:tcPr>
            <w:tcW w:w="10620" w:type="dxa"/>
          </w:tcPr>
          <w:p w:rsidR="00A52D9E" w:rsidRDefault="00A52D9E" w:rsidP="00B8537E">
            <w:pPr>
              <w:pStyle w:val="bullets1"/>
              <w:numPr>
                <w:ilvl w:val="0"/>
                <w:numId w:val="0"/>
              </w:numPr>
              <w:ind w:left="450"/>
            </w:pPr>
          </w:p>
          <w:p w:rsidR="00A52D9E" w:rsidRDefault="00A52D9E" w:rsidP="00B8537E">
            <w:pPr>
              <w:pStyle w:val="bullets1"/>
              <w:rPr>
                <w:b/>
              </w:rPr>
            </w:pPr>
            <w:r w:rsidRPr="00DF7465">
              <w:rPr>
                <w:b/>
              </w:rPr>
              <w:t>Roll-off license fee</w:t>
            </w:r>
          </w:p>
          <w:p w:rsidR="00A52D9E" w:rsidRPr="00A27B06" w:rsidRDefault="00A52D9E" w:rsidP="00B8537E">
            <w:pPr>
              <w:pStyle w:val="bullets1"/>
              <w:numPr>
                <w:ilvl w:val="0"/>
                <w:numId w:val="0"/>
              </w:numPr>
              <w:ind w:left="720"/>
            </w:pPr>
            <w:r w:rsidRPr="00DF7465">
              <w:rPr>
                <w:i/>
              </w:rPr>
              <w:t>Require roll-off licensee applicants to pay a fee</w:t>
            </w:r>
            <w:r w:rsidRPr="00A27B06">
              <w:t>.</w:t>
            </w:r>
          </w:p>
        </w:tc>
      </w:tr>
      <w:tr w:rsidR="00A52D9E" w:rsidRPr="00A27B06" w:rsidTr="00351F0F">
        <w:tc>
          <w:tcPr>
            <w:tcW w:w="10620" w:type="dxa"/>
          </w:tcPr>
          <w:p w:rsidR="00A52D9E" w:rsidRDefault="00A52D9E" w:rsidP="00B8537E">
            <w:pPr>
              <w:pStyle w:val="bullets1"/>
              <w:numPr>
                <w:ilvl w:val="0"/>
                <w:numId w:val="0"/>
              </w:numPr>
              <w:ind w:left="450"/>
            </w:pPr>
          </w:p>
          <w:p w:rsidR="00A52D9E" w:rsidRDefault="00A52D9E" w:rsidP="00B8537E">
            <w:pPr>
              <w:pStyle w:val="bullets1"/>
              <w:rPr>
                <w:b/>
              </w:rPr>
            </w:pPr>
            <w:r w:rsidRPr="00DF7465">
              <w:rPr>
                <w:b/>
              </w:rPr>
              <w:t>Roll-off identification</w:t>
            </w:r>
          </w:p>
          <w:p w:rsidR="00A52D9E" w:rsidRPr="00A27B06" w:rsidRDefault="00A52D9E" w:rsidP="00B8537E">
            <w:pPr>
              <w:pStyle w:val="bullets1"/>
              <w:numPr>
                <w:ilvl w:val="0"/>
                <w:numId w:val="0"/>
              </w:numPr>
              <w:ind w:left="720"/>
            </w:pPr>
            <w:r w:rsidRPr="00DF7465">
              <w:rPr>
                <w:i/>
              </w:rPr>
              <w:t>Require that every c</w:t>
            </w:r>
            <w:r w:rsidR="00F377B7">
              <w:rPr>
                <w:i/>
              </w:rPr>
              <w:t>ontainer (box) have the name &amp;</w:t>
            </w:r>
            <w:r w:rsidRPr="00DF7465">
              <w:rPr>
                <w:i/>
              </w:rPr>
              <w:t xml:space="preserve"> phone number</w:t>
            </w:r>
            <w:r w:rsidRPr="00A27B06">
              <w:t xml:space="preserve"> of the owner of the container.</w:t>
            </w:r>
          </w:p>
        </w:tc>
      </w:tr>
      <w:tr w:rsidR="00A52D9E" w:rsidRPr="00A27B06" w:rsidTr="00351F0F">
        <w:tc>
          <w:tcPr>
            <w:tcW w:w="10620" w:type="dxa"/>
          </w:tcPr>
          <w:p w:rsidR="00A52D9E" w:rsidRPr="00276D55" w:rsidRDefault="00A52D9E" w:rsidP="00B8537E">
            <w:pPr>
              <w:pStyle w:val="bullets1"/>
              <w:numPr>
                <w:ilvl w:val="0"/>
                <w:numId w:val="0"/>
              </w:numPr>
              <w:ind w:left="450"/>
            </w:pPr>
          </w:p>
          <w:p w:rsidR="00A52D9E" w:rsidRPr="00C145AE" w:rsidRDefault="00A52D9E" w:rsidP="00B8537E">
            <w:pPr>
              <w:pStyle w:val="bullets1"/>
            </w:pPr>
            <w:r>
              <w:rPr>
                <w:b/>
              </w:rPr>
              <w:t>Roll-off placement pre-approval</w:t>
            </w:r>
          </w:p>
          <w:p w:rsidR="00A52D9E" w:rsidRPr="00A27B06" w:rsidRDefault="00A52D9E" w:rsidP="00B8537E">
            <w:pPr>
              <w:pStyle w:val="bullets1"/>
              <w:numPr>
                <w:ilvl w:val="0"/>
                <w:numId w:val="0"/>
              </w:numPr>
              <w:ind w:left="720"/>
            </w:pPr>
            <w:r w:rsidRPr="00AA578D">
              <w:rPr>
                <w:i/>
              </w:rPr>
              <w:t>Require City approval</w:t>
            </w:r>
            <w:r>
              <w:t xml:space="preserve"> (Public Works Department or other) </w:t>
            </w:r>
            <w:r w:rsidRPr="00A27B06">
              <w:t xml:space="preserve">before </w:t>
            </w:r>
            <w:r>
              <w:t xml:space="preserve">a roll-off licensee places a roll-off container </w:t>
            </w:r>
            <w:r w:rsidRPr="00A27B06">
              <w:t>in the public Right of Way</w:t>
            </w:r>
            <w:r>
              <w:t xml:space="preserve">. </w:t>
            </w:r>
          </w:p>
        </w:tc>
      </w:tr>
      <w:tr w:rsidR="00A52D9E" w:rsidRPr="00A27B06" w:rsidTr="00351F0F">
        <w:tc>
          <w:tcPr>
            <w:tcW w:w="10620" w:type="dxa"/>
          </w:tcPr>
          <w:p w:rsidR="00A52D9E" w:rsidRDefault="00A52D9E" w:rsidP="00B8537E">
            <w:pPr>
              <w:pStyle w:val="bullets1"/>
              <w:numPr>
                <w:ilvl w:val="0"/>
                <w:numId w:val="0"/>
              </w:numPr>
              <w:ind w:left="450"/>
            </w:pPr>
          </w:p>
          <w:p w:rsidR="00A52D9E" w:rsidRPr="00AA578D" w:rsidRDefault="00A52D9E" w:rsidP="00B8537E">
            <w:pPr>
              <w:pStyle w:val="bullets1"/>
              <w:rPr>
                <w:b/>
              </w:rPr>
            </w:pPr>
            <w:r w:rsidRPr="00AA578D">
              <w:rPr>
                <w:b/>
              </w:rPr>
              <w:t>Roll-off refundable fee</w:t>
            </w:r>
          </w:p>
          <w:p w:rsidR="00A52D9E" w:rsidRDefault="00A52D9E" w:rsidP="00B8537E">
            <w:pPr>
              <w:pStyle w:val="bullets1"/>
              <w:numPr>
                <w:ilvl w:val="0"/>
                <w:numId w:val="0"/>
              </w:numPr>
              <w:ind w:left="702"/>
            </w:pPr>
            <w:r w:rsidRPr="00AA578D">
              <w:rPr>
                <w:i/>
              </w:rPr>
              <w:t>Require payment before each container is sited</w:t>
            </w:r>
            <w:r w:rsidRPr="00A27B06">
              <w:t>, to be refunded when the reporting requirements for that container are met.</w:t>
            </w:r>
            <w:r w:rsidR="00D92ADB">
              <w:t xml:space="preserve">  </w:t>
            </w:r>
          </w:p>
          <w:p w:rsidR="00A52D9E" w:rsidRPr="00A27B06" w:rsidRDefault="00A52D9E" w:rsidP="00B8537E">
            <w:pPr>
              <w:pStyle w:val="bullets1"/>
              <w:numPr>
                <w:ilvl w:val="0"/>
                <w:numId w:val="0"/>
              </w:numPr>
              <w:ind w:left="450"/>
            </w:pPr>
          </w:p>
        </w:tc>
      </w:tr>
    </w:tbl>
    <w:p w:rsidR="006148FF" w:rsidRDefault="000C4C6B" w:rsidP="001D1AC4">
      <w:r>
        <w:t>D</w:t>
      </w:r>
      <w:r w:rsidR="000A6297">
        <w:t>eveloped</w:t>
      </w:r>
      <w:r>
        <w:t xml:space="preserve"> </w:t>
      </w:r>
      <w:r w:rsidR="006148FF" w:rsidRPr="006148FF">
        <w:t xml:space="preserve">by foth.com of Lake Elmo, MN for MPCA and MN </w:t>
      </w:r>
      <w:proofErr w:type="spellStart"/>
      <w:r w:rsidR="006148FF" w:rsidRPr="006148FF">
        <w:t>GreenStep</w:t>
      </w:r>
      <w:proofErr w:type="spellEnd"/>
      <w:r w:rsidR="006148FF" w:rsidRPr="006148FF">
        <w:t xml:space="preserve"> Cities. Comments welcomed via </w:t>
      </w:r>
      <w:hyperlink r:id="rId8" w:history="1">
        <w:r w:rsidR="006148FF" w:rsidRPr="00360CBB">
          <w:rPr>
            <w:rStyle w:val="Hyperlink"/>
          </w:rPr>
          <w:t>http://greenstep.pca.state.mn.us/contact.cfm</w:t>
        </w:r>
      </w:hyperlink>
      <w:r w:rsidR="006148FF">
        <w:t xml:space="preserve"> </w:t>
      </w:r>
    </w:p>
    <w:sectPr w:rsidR="006148FF" w:rsidSect="007952FA">
      <w:footerReference w:type="default" r:id="rId9"/>
      <w:foot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466" w:rsidRDefault="0095133B">
      <w:pPr>
        <w:spacing w:after="0" w:line="240" w:lineRule="auto"/>
      </w:pPr>
      <w:r>
        <w:separator/>
      </w:r>
    </w:p>
  </w:endnote>
  <w:endnote w:type="continuationSeparator" w:id="0">
    <w:p w:rsidR="00E62466" w:rsidRDefault="0095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C21" w:rsidRDefault="00251C21" w:rsidP="008E2A94">
    <w:pPr>
      <w:pStyle w:val="Footer"/>
      <w:pBdr>
        <w:top w:val="single" w:sz="4" w:space="1" w:color="auto"/>
      </w:pBdr>
      <w:jc w:val="right"/>
      <w:rPr>
        <w:rFonts w:ascii="Times New Roman" w:hAnsi="Times New Roman" w:cs="Times New Roman"/>
        <w:sz w:val="18"/>
        <w:szCs w:val="18"/>
      </w:rPr>
    </w:pPr>
    <w:r>
      <w:rPr>
        <w:rFonts w:ascii="Times New Roman" w:hAnsi="Times New Roman" w:cs="Times New Roman"/>
        <w:sz w:val="18"/>
        <w:szCs w:val="18"/>
      </w:rPr>
      <w:t>Ordinance/License BMPs</w:t>
    </w:r>
    <w:r w:rsidR="000A6297">
      <w:rPr>
        <w:rFonts w:ascii="Times New Roman" w:hAnsi="Times New Roman" w:cs="Times New Roman"/>
        <w:sz w:val="18"/>
        <w:szCs w:val="18"/>
      </w:rPr>
      <w:t xml:space="preserve"> (Oct. 2015)</w:t>
    </w:r>
  </w:p>
  <w:p w:rsidR="000C7D4C" w:rsidRPr="001769D1" w:rsidRDefault="00BB5BC0" w:rsidP="008E2A94">
    <w:pPr>
      <w:pStyle w:val="Footer"/>
      <w:pBdr>
        <w:top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Arabic  \* MERGEFORMAT </w:instrText>
    </w:r>
    <w:r>
      <w:rPr>
        <w:rFonts w:ascii="Times New Roman" w:hAnsi="Times New Roman" w:cs="Times New Roman"/>
        <w:sz w:val="18"/>
        <w:szCs w:val="18"/>
      </w:rPr>
      <w:fldChar w:fldCharType="separate"/>
    </w:r>
    <w:r w:rsidR="00440A7D">
      <w:rPr>
        <w:rFonts w:ascii="Times New Roman" w:hAnsi="Times New Roman" w:cs="Times New Roman"/>
        <w:noProof/>
        <w:sz w:val="18"/>
        <w:szCs w:val="18"/>
      </w:rPr>
      <w:t>4</w:t>
    </w:r>
    <w:r>
      <w:rPr>
        <w:rFonts w:ascii="Times New Roman" w:hAnsi="Times New Roman"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4C" w:rsidRPr="001769D1" w:rsidRDefault="00BB5BC0" w:rsidP="000C7D4C">
    <w:pPr>
      <w:pStyle w:val="Footer"/>
      <w:pBdr>
        <w:top w:val="single" w:sz="4" w:space="1" w:color="auto"/>
      </w:pBdr>
      <w:rPr>
        <w:rFonts w:ascii="Times New Roman" w:hAnsi="Times New Roman" w:cs="Times New Roman"/>
        <w:sz w:val="18"/>
        <w:szCs w:val="18"/>
      </w:rPr>
    </w:pPr>
    <w:r w:rsidRPr="001769D1">
      <w:rPr>
        <w:rFonts w:ascii="Times New Roman" w:hAnsi="Times New Roman" w:cs="Times New Roman"/>
        <w:sz w:val="18"/>
        <w:szCs w:val="18"/>
      </w:rPr>
      <w:fldChar w:fldCharType="begin"/>
    </w:r>
    <w:r w:rsidRPr="001769D1">
      <w:rPr>
        <w:rFonts w:ascii="Times New Roman" w:hAnsi="Times New Roman" w:cs="Times New Roman"/>
        <w:sz w:val="18"/>
        <w:szCs w:val="18"/>
      </w:rPr>
      <w:instrText xml:space="preserve"> FILENAME  \p  \* MERGEFORMAT </w:instrText>
    </w:r>
    <w:r w:rsidRPr="001769D1">
      <w:rPr>
        <w:rFonts w:ascii="Times New Roman" w:hAnsi="Times New Roman" w:cs="Times New Roman"/>
        <w:sz w:val="18"/>
        <w:szCs w:val="18"/>
      </w:rPr>
      <w:fldChar w:fldCharType="separate"/>
    </w:r>
    <w:r w:rsidR="00440A7D">
      <w:rPr>
        <w:rFonts w:ascii="Times New Roman" w:hAnsi="Times New Roman" w:cs="Times New Roman"/>
        <w:noProof/>
        <w:sz w:val="18"/>
        <w:szCs w:val="18"/>
      </w:rPr>
      <w:t>H:\Public\Foth\Licensing and ordinance BMPs.docx</w:t>
    </w:r>
    <w:r w:rsidRPr="001769D1">
      <w:rPr>
        <w:rFonts w:ascii="Times New Roman" w:hAnsi="Times New Roman" w:cs="Times New Roman"/>
        <w:sz w:val="18"/>
        <w:szCs w:val="18"/>
      </w:rPr>
      <w:fldChar w:fldCharType="end"/>
    </w:r>
    <w:r>
      <w:rPr>
        <w:rFonts w:ascii="Times New Roman" w:hAnsi="Times New Roman" w:cs="Times New Roman"/>
        <w:sz w:val="18"/>
        <w:szCs w:val="18"/>
      </w:rPr>
      <w:tab/>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Arabic  \* MERGEFORMAT </w:instrText>
    </w:r>
    <w:r>
      <w:rPr>
        <w:rFonts w:ascii="Times New Roman" w:hAnsi="Times New Roman" w:cs="Times New Roman"/>
        <w:sz w:val="18"/>
        <w:szCs w:val="18"/>
      </w:rPr>
      <w:fldChar w:fldCharType="separate"/>
    </w:r>
    <w:r w:rsidR="00915818">
      <w:rPr>
        <w:rFonts w:ascii="Times New Roman" w:hAnsi="Times New Roman" w:cs="Times New Roman"/>
        <w:noProof/>
        <w:sz w:val="18"/>
        <w:szCs w:val="18"/>
      </w:rPr>
      <w:t>1</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466" w:rsidRDefault="0095133B">
      <w:pPr>
        <w:spacing w:after="0" w:line="240" w:lineRule="auto"/>
      </w:pPr>
      <w:r>
        <w:separator/>
      </w:r>
    </w:p>
  </w:footnote>
  <w:footnote w:type="continuationSeparator" w:id="0">
    <w:p w:rsidR="00E62466" w:rsidRDefault="009513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34D5"/>
    <w:multiLevelType w:val="hybridMultilevel"/>
    <w:tmpl w:val="194CB8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DA5045"/>
    <w:multiLevelType w:val="hybridMultilevel"/>
    <w:tmpl w:val="5B1E03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2D268A"/>
    <w:multiLevelType w:val="hybridMultilevel"/>
    <w:tmpl w:val="874A96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F173E7"/>
    <w:multiLevelType w:val="hybridMultilevel"/>
    <w:tmpl w:val="73E210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F7711A"/>
    <w:multiLevelType w:val="hybridMultilevel"/>
    <w:tmpl w:val="B02C0B50"/>
    <w:lvl w:ilvl="0" w:tplc="00ECD3DE">
      <w:start w:val="1"/>
      <w:numFmt w:val="bullet"/>
      <w:pStyle w:val="bullets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31102F"/>
    <w:multiLevelType w:val="hybridMultilevel"/>
    <w:tmpl w:val="1DF827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43F"/>
    <w:rsid w:val="000153B8"/>
    <w:rsid w:val="000165BF"/>
    <w:rsid w:val="00023CCC"/>
    <w:rsid w:val="0005606D"/>
    <w:rsid w:val="00065485"/>
    <w:rsid w:val="000907C7"/>
    <w:rsid w:val="000A6297"/>
    <w:rsid w:val="000A7C5D"/>
    <w:rsid w:val="000B779A"/>
    <w:rsid w:val="000C4C6B"/>
    <w:rsid w:val="000D7111"/>
    <w:rsid w:val="001057E1"/>
    <w:rsid w:val="001113CA"/>
    <w:rsid w:val="0011315F"/>
    <w:rsid w:val="00133A6B"/>
    <w:rsid w:val="001819AE"/>
    <w:rsid w:val="001A035D"/>
    <w:rsid w:val="001D1AC4"/>
    <w:rsid w:val="001E5635"/>
    <w:rsid w:val="0021207E"/>
    <w:rsid w:val="0021562E"/>
    <w:rsid w:val="00251C21"/>
    <w:rsid w:val="00276D55"/>
    <w:rsid w:val="00313690"/>
    <w:rsid w:val="0033321B"/>
    <w:rsid w:val="00346204"/>
    <w:rsid w:val="00351F0F"/>
    <w:rsid w:val="003B6F31"/>
    <w:rsid w:val="0042511C"/>
    <w:rsid w:val="00440A7D"/>
    <w:rsid w:val="004901BC"/>
    <w:rsid w:val="004F0599"/>
    <w:rsid w:val="005012C1"/>
    <w:rsid w:val="00553E5A"/>
    <w:rsid w:val="00555EE5"/>
    <w:rsid w:val="00563EF1"/>
    <w:rsid w:val="00565A9D"/>
    <w:rsid w:val="00571078"/>
    <w:rsid w:val="005B29CC"/>
    <w:rsid w:val="006148FF"/>
    <w:rsid w:val="0063368F"/>
    <w:rsid w:val="00636CC5"/>
    <w:rsid w:val="00647595"/>
    <w:rsid w:val="006476CA"/>
    <w:rsid w:val="006641CC"/>
    <w:rsid w:val="00695345"/>
    <w:rsid w:val="006B3281"/>
    <w:rsid w:val="006C4E22"/>
    <w:rsid w:val="006E1E75"/>
    <w:rsid w:val="007026D1"/>
    <w:rsid w:val="007063E8"/>
    <w:rsid w:val="007230E0"/>
    <w:rsid w:val="00727249"/>
    <w:rsid w:val="00740C12"/>
    <w:rsid w:val="00742322"/>
    <w:rsid w:val="00745C79"/>
    <w:rsid w:val="00763413"/>
    <w:rsid w:val="0078112C"/>
    <w:rsid w:val="007952FA"/>
    <w:rsid w:val="007B7826"/>
    <w:rsid w:val="00827C01"/>
    <w:rsid w:val="0083776A"/>
    <w:rsid w:val="00880A9F"/>
    <w:rsid w:val="00891F91"/>
    <w:rsid w:val="008A0B5B"/>
    <w:rsid w:val="008D043F"/>
    <w:rsid w:val="008E67D5"/>
    <w:rsid w:val="008F7994"/>
    <w:rsid w:val="00915818"/>
    <w:rsid w:val="00916677"/>
    <w:rsid w:val="00941A77"/>
    <w:rsid w:val="0095133B"/>
    <w:rsid w:val="009768A0"/>
    <w:rsid w:val="00992BC0"/>
    <w:rsid w:val="009A1417"/>
    <w:rsid w:val="009B16F7"/>
    <w:rsid w:val="009E5943"/>
    <w:rsid w:val="009F55ED"/>
    <w:rsid w:val="00A01FD1"/>
    <w:rsid w:val="00A04B31"/>
    <w:rsid w:val="00A2455A"/>
    <w:rsid w:val="00A36460"/>
    <w:rsid w:val="00A437B5"/>
    <w:rsid w:val="00A52D9E"/>
    <w:rsid w:val="00A76915"/>
    <w:rsid w:val="00AA43F4"/>
    <w:rsid w:val="00AA578D"/>
    <w:rsid w:val="00AB2D98"/>
    <w:rsid w:val="00AC00B5"/>
    <w:rsid w:val="00B61DDD"/>
    <w:rsid w:val="00B95558"/>
    <w:rsid w:val="00BB5BC0"/>
    <w:rsid w:val="00C145AE"/>
    <w:rsid w:val="00C400C1"/>
    <w:rsid w:val="00CA0C0B"/>
    <w:rsid w:val="00CA6510"/>
    <w:rsid w:val="00CC7BDF"/>
    <w:rsid w:val="00D01544"/>
    <w:rsid w:val="00D21D75"/>
    <w:rsid w:val="00D249DA"/>
    <w:rsid w:val="00D7405B"/>
    <w:rsid w:val="00D85844"/>
    <w:rsid w:val="00D92ADB"/>
    <w:rsid w:val="00DA7432"/>
    <w:rsid w:val="00DE0754"/>
    <w:rsid w:val="00DF400D"/>
    <w:rsid w:val="00DF7465"/>
    <w:rsid w:val="00E010E4"/>
    <w:rsid w:val="00E0154E"/>
    <w:rsid w:val="00E145A8"/>
    <w:rsid w:val="00E15FD6"/>
    <w:rsid w:val="00E62466"/>
    <w:rsid w:val="00ED0C00"/>
    <w:rsid w:val="00EE5189"/>
    <w:rsid w:val="00EF0617"/>
    <w:rsid w:val="00F26938"/>
    <w:rsid w:val="00F32A2E"/>
    <w:rsid w:val="00F377B7"/>
    <w:rsid w:val="00F53B5E"/>
    <w:rsid w:val="00F6188F"/>
    <w:rsid w:val="00F67DFA"/>
    <w:rsid w:val="00F73143"/>
    <w:rsid w:val="00F875B5"/>
    <w:rsid w:val="00F92599"/>
    <w:rsid w:val="00FD7F51"/>
    <w:rsid w:val="00FE76F4"/>
    <w:rsid w:val="00FF4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4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1">
    <w:name w:val="bullets1"/>
    <w:basedOn w:val="ListParagraph"/>
    <w:link w:val="bullets1Char"/>
    <w:qFormat/>
    <w:rsid w:val="008D043F"/>
    <w:pPr>
      <w:numPr>
        <w:numId w:val="1"/>
      </w:numPr>
      <w:spacing w:after="0" w:line="240" w:lineRule="auto"/>
    </w:pPr>
    <w:rPr>
      <w:rFonts w:ascii="Times New Roman" w:hAnsi="Times New Roman" w:cs="Times New Roman"/>
      <w:sz w:val="24"/>
      <w:szCs w:val="24"/>
    </w:rPr>
  </w:style>
  <w:style w:type="character" w:customStyle="1" w:styleId="bullets1Char">
    <w:name w:val="bullets1 Char"/>
    <w:basedOn w:val="DefaultParagraphFont"/>
    <w:link w:val="bullets1"/>
    <w:rsid w:val="008D043F"/>
    <w:rPr>
      <w:rFonts w:ascii="Times New Roman" w:hAnsi="Times New Roman" w:cs="Times New Roman"/>
      <w:sz w:val="24"/>
      <w:szCs w:val="24"/>
    </w:rPr>
  </w:style>
  <w:style w:type="paragraph" w:styleId="Footer">
    <w:name w:val="footer"/>
    <w:basedOn w:val="Normal"/>
    <w:link w:val="FooterChar"/>
    <w:uiPriority w:val="99"/>
    <w:unhideWhenUsed/>
    <w:rsid w:val="008D0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43F"/>
  </w:style>
  <w:style w:type="paragraph" w:styleId="ListParagraph">
    <w:name w:val="List Paragraph"/>
    <w:basedOn w:val="Normal"/>
    <w:uiPriority w:val="34"/>
    <w:qFormat/>
    <w:rsid w:val="008D043F"/>
    <w:pPr>
      <w:ind w:left="720"/>
      <w:contextualSpacing/>
    </w:pPr>
  </w:style>
  <w:style w:type="paragraph" w:styleId="Header">
    <w:name w:val="header"/>
    <w:basedOn w:val="Normal"/>
    <w:link w:val="HeaderChar"/>
    <w:uiPriority w:val="99"/>
    <w:unhideWhenUsed/>
    <w:rsid w:val="00D01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544"/>
  </w:style>
  <w:style w:type="paragraph" w:styleId="BalloonText">
    <w:name w:val="Balloon Text"/>
    <w:basedOn w:val="Normal"/>
    <w:link w:val="BalloonTextChar"/>
    <w:uiPriority w:val="99"/>
    <w:semiHidden/>
    <w:unhideWhenUsed/>
    <w:rsid w:val="000B7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79A"/>
    <w:rPr>
      <w:rFonts w:ascii="Tahoma" w:hAnsi="Tahoma" w:cs="Tahoma"/>
      <w:sz w:val="16"/>
      <w:szCs w:val="16"/>
    </w:rPr>
  </w:style>
  <w:style w:type="character" w:styleId="Hyperlink">
    <w:name w:val="Hyperlink"/>
    <w:basedOn w:val="DefaultParagraphFont"/>
    <w:uiPriority w:val="99"/>
    <w:unhideWhenUsed/>
    <w:rsid w:val="006148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4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1">
    <w:name w:val="bullets1"/>
    <w:basedOn w:val="ListParagraph"/>
    <w:link w:val="bullets1Char"/>
    <w:qFormat/>
    <w:rsid w:val="008D043F"/>
    <w:pPr>
      <w:numPr>
        <w:numId w:val="1"/>
      </w:numPr>
      <w:spacing w:after="0" w:line="240" w:lineRule="auto"/>
    </w:pPr>
    <w:rPr>
      <w:rFonts w:ascii="Times New Roman" w:hAnsi="Times New Roman" w:cs="Times New Roman"/>
      <w:sz w:val="24"/>
      <w:szCs w:val="24"/>
    </w:rPr>
  </w:style>
  <w:style w:type="character" w:customStyle="1" w:styleId="bullets1Char">
    <w:name w:val="bullets1 Char"/>
    <w:basedOn w:val="DefaultParagraphFont"/>
    <w:link w:val="bullets1"/>
    <w:rsid w:val="008D043F"/>
    <w:rPr>
      <w:rFonts w:ascii="Times New Roman" w:hAnsi="Times New Roman" w:cs="Times New Roman"/>
      <w:sz w:val="24"/>
      <w:szCs w:val="24"/>
    </w:rPr>
  </w:style>
  <w:style w:type="paragraph" w:styleId="Footer">
    <w:name w:val="footer"/>
    <w:basedOn w:val="Normal"/>
    <w:link w:val="FooterChar"/>
    <w:uiPriority w:val="99"/>
    <w:unhideWhenUsed/>
    <w:rsid w:val="008D0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43F"/>
  </w:style>
  <w:style w:type="paragraph" w:styleId="ListParagraph">
    <w:name w:val="List Paragraph"/>
    <w:basedOn w:val="Normal"/>
    <w:uiPriority w:val="34"/>
    <w:qFormat/>
    <w:rsid w:val="008D043F"/>
    <w:pPr>
      <w:ind w:left="720"/>
      <w:contextualSpacing/>
    </w:pPr>
  </w:style>
  <w:style w:type="paragraph" w:styleId="Header">
    <w:name w:val="header"/>
    <w:basedOn w:val="Normal"/>
    <w:link w:val="HeaderChar"/>
    <w:uiPriority w:val="99"/>
    <w:unhideWhenUsed/>
    <w:rsid w:val="00D01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544"/>
  </w:style>
  <w:style w:type="paragraph" w:styleId="BalloonText">
    <w:name w:val="Balloon Text"/>
    <w:basedOn w:val="Normal"/>
    <w:link w:val="BalloonTextChar"/>
    <w:uiPriority w:val="99"/>
    <w:semiHidden/>
    <w:unhideWhenUsed/>
    <w:rsid w:val="000B7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79A"/>
    <w:rPr>
      <w:rFonts w:ascii="Tahoma" w:hAnsi="Tahoma" w:cs="Tahoma"/>
      <w:sz w:val="16"/>
      <w:szCs w:val="16"/>
    </w:rPr>
  </w:style>
  <w:style w:type="character" w:styleId="Hyperlink">
    <w:name w:val="Hyperlink"/>
    <w:basedOn w:val="DefaultParagraphFont"/>
    <w:uiPriority w:val="99"/>
    <w:unhideWhenUsed/>
    <w:rsid w:val="006148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tep.pca.state.mn.us/contact.cf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City Solid Waste Ordinance and Licensing BMPs</vt:lpstr>
    </vt:vector>
  </TitlesOfParts>
  <Manager>Philipp Muessig, MPCA</Manager>
  <Company>Foth Companies</Company>
  <LinksUpToDate>false</LinksUpToDate>
  <CharactersWithSpaces>11165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Solid Waste Ordinance and Licensing BMPs</dc:title>
  <dc:subject>city solid waste</dc:subject>
  <dc:creator>Susan Young;Philipp Muessig</dc:creator>
  <cp:keywords>GreenStep Cities best management practices</cp:keywords>
  <cp:lastModifiedBy>Muessig, Philipp</cp:lastModifiedBy>
  <cp:revision>12</cp:revision>
  <cp:lastPrinted>2015-11-04T16:52:00Z</cp:lastPrinted>
  <dcterms:created xsi:type="dcterms:W3CDTF">2015-11-02T17:10:00Z</dcterms:created>
  <dcterms:modified xsi:type="dcterms:W3CDTF">2015-11-04T16:52:00Z</dcterms:modified>
</cp:coreProperties>
</file>